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490"/>
        <w:spacing w:before="221" w:line="220" w:lineRule="auto"/>
        <w:outlineLvl w:val="0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b/>
          <w:bCs/>
          <w:spacing w:val="-3"/>
        </w:rPr>
        <w:t>济宁市居民医疗保险待遇一览表</w:t>
      </w:r>
    </w:p>
    <w:p>
      <w:pPr>
        <w:ind w:left="3726"/>
        <w:spacing w:before="11" w:line="452" w:lineRule="exact"/>
        <w:outlineLvl w:val="0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b/>
          <w:bCs/>
          <w:spacing w:val="7"/>
          <w:position w:val="2"/>
        </w:rPr>
        <w:t>（2025年7月）</w:t>
      </w:r>
    </w:p>
    <w:p>
      <w:pPr>
        <w:spacing w:line="138" w:lineRule="exact"/>
        <w:rPr/>
      </w:pPr>
      <w:r/>
    </w:p>
    <w:tbl>
      <w:tblPr>
        <w:tblStyle w:val="TableNormal"/>
        <w:tblW w:w="963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13"/>
        <w:gridCol w:w="1370"/>
        <w:gridCol w:w="1742"/>
        <w:gridCol w:w="1934"/>
        <w:gridCol w:w="1934"/>
        <w:gridCol w:w="1942"/>
      </w:tblGrid>
      <w:tr>
        <w:trPr>
          <w:trHeight w:val="511" w:hRule="atLeast"/>
        </w:trPr>
        <w:tc>
          <w:tcPr>
            <w:tcW w:w="7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76" w:right="70" w:firstLine="2"/>
              <w:spacing w:before="58" w:line="232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2"/>
              </w:rPr>
              <w:t>基本医</w:t>
            </w:r>
            <w:r>
              <w:rPr>
                <w:rFonts w:ascii="SimHei" w:hAnsi="SimHei" w:eastAsia="SimHei" w:cs="SimHei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18"/>
                <w:szCs w:val="18"/>
                <w:spacing w:val="3"/>
              </w:rPr>
              <w:t>疗保险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499"/>
              <w:spacing w:before="58" w:line="227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2"/>
              </w:rPr>
              <w:t>住院</w:t>
            </w:r>
          </w:p>
        </w:tc>
        <w:tc>
          <w:tcPr>
            <w:tcW w:w="17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506"/>
              <w:spacing w:before="59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起付标准</w:t>
            </w:r>
          </w:p>
        </w:tc>
        <w:tc>
          <w:tcPr>
            <w:tcW w:w="1934" w:type="dxa"/>
            <w:vAlign w:val="top"/>
          </w:tcPr>
          <w:p>
            <w:pPr>
              <w:ind w:left="422"/>
              <w:spacing w:before="17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一级医疗机构</w:t>
            </w:r>
          </w:p>
        </w:tc>
        <w:tc>
          <w:tcPr>
            <w:tcW w:w="3876" w:type="dxa"/>
            <w:vAlign w:val="top"/>
            <w:gridSpan w:val="2"/>
          </w:tcPr>
          <w:p>
            <w:pPr>
              <w:ind w:left="1725"/>
              <w:spacing w:before="172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100元</w:t>
            </w:r>
          </w:p>
        </w:tc>
      </w:tr>
      <w:tr>
        <w:trPr>
          <w:trHeight w:val="503" w:hRule="atLeast"/>
        </w:trPr>
        <w:tc>
          <w:tcPr>
            <w:tcW w:w="7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4" w:type="dxa"/>
            <w:vAlign w:val="top"/>
          </w:tcPr>
          <w:p>
            <w:pPr>
              <w:ind w:left="422"/>
              <w:spacing w:before="16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二级医疗机构</w:t>
            </w:r>
          </w:p>
        </w:tc>
        <w:tc>
          <w:tcPr>
            <w:tcW w:w="3876" w:type="dxa"/>
            <w:vAlign w:val="top"/>
            <w:gridSpan w:val="2"/>
          </w:tcPr>
          <w:p>
            <w:pPr>
              <w:ind w:left="1711"/>
              <w:spacing w:before="162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400元</w:t>
            </w:r>
          </w:p>
        </w:tc>
      </w:tr>
      <w:tr>
        <w:trPr>
          <w:trHeight w:val="503" w:hRule="atLeast"/>
        </w:trPr>
        <w:tc>
          <w:tcPr>
            <w:tcW w:w="7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4" w:type="dxa"/>
            <w:vAlign w:val="top"/>
          </w:tcPr>
          <w:p>
            <w:pPr>
              <w:ind w:left="419"/>
              <w:spacing w:before="165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三级医疗机构</w:t>
            </w:r>
          </w:p>
        </w:tc>
        <w:tc>
          <w:tcPr>
            <w:tcW w:w="3876" w:type="dxa"/>
            <w:vAlign w:val="top"/>
            <w:gridSpan w:val="2"/>
          </w:tcPr>
          <w:p>
            <w:pPr>
              <w:ind w:left="1712"/>
              <w:spacing w:before="165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800元</w:t>
            </w:r>
          </w:p>
        </w:tc>
      </w:tr>
      <w:tr>
        <w:trPr>
          <w:trHeight w:val="503" w:hRule="atLeast"/>
        </w:trPr>
        <w:tc>
          <w:tcPr>
            <w:tcW w:w="7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504"/>
              <w:spacing w:before="59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报销比例</w:t>
            </w:r>
          </w:p>
        </w:tc>
        <w:tc>
          <w:tcPr>
            <w:tcW w:w="1934" w:type="dxa"/>
            <w:vAlign w:val="top"/>
          </w:tcPr>
          <w:p>
            <w:pPr>
              <w:ind w:left="422"/>
              <w:spacing w:before="163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一级医疗机构</w:t>
            </w:r>
          </w:p>
        </w:tc>
        <w:tc>
          <w:tcPr>
            <w:tcW w:w="3876" w:type="dxa"/>
            <w:vAlign w:val="top"/>
            <w:gridSpan w:val="2"/>
          </w:tcPr>
          <w:p>
            <w:pPr>
              <w:ind w:left="1805"/>
              <w:spacing w:before="163" w:line="239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position w:val="1"/>
              </w:rPr>
              <w:t>85%</w:t>
            </w:r>
          </w:p>
        </w:tc>
      </w:tr>
      <w:tr>
        <w:trPr>
          <w:trHeight w:val="503" w:hRule="atLeast"/>
        </w:trPr>
        <w:tc>
          <w:tcPr>
            <w:tcW w:w="7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4" w:type="dxa"/>
            <w:vAlign w:val="top"/>
          </w:tcPr>
          <w:p>
            <w:pPr>
              <w:ind w:left="422"/>
              <w:spacing w:before="166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二级医疗机构</w:t>
            </w:r>
          </w:p>
        </w:tc>
        <w:tc>
          <w:tcPr>
            <w:tcW w:w="3876" w:type="dxa"/>
            <w:vAlign w:val="top"/>
            <w:gridSpan w:val="2"/>
          </w:tcPr>
          <w:p>
            <w:pPr>
              <w:ind w:left="1809"/>
              <w:spacing w:before="166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1"/>
              </w:rPr>
              <w:t>75%</w:t>
            </w:r>
          </w:p>
        </w:tc>
      </w:tr>
      <w:tr>
        <w:trPr>
          <w:trHeight w:val="503" w:hRule="atLeast"/>
        </w:trPr>
        <w:tc>
          <w:tcPr>
            <w:tcW w:w="7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4" w:type="dxa"/>
            <w:vAlign w:val="top"/>
          </w:tcPr>
          <w:p>
            <w:pPr>
              <w:ind w:left="419"/>
              <w:spacing w:before="166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三级医疗机构</w:t>
            </w:r>
          </w:p>
        </w:tc>
        <w:tc>
          <w:tcPr>
            <w:tcW w:w="3876" w:type="dxa"/>
            <w:vAlign w:val="top"/>
            <w:gridSpan w:val="2"/>
          </w:tcPr>
          <w:p>
            <w:pPr>
              <w:ind w:left="1806"/>
              <w:spacing w:before="166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1"/>
              </w:rPr>
              <w:t>60%</w:t>
            </w:r>
          </w:p>
        </w:tc>
      </w:tr>
      <w:tr>
        <w:trPr>
          <w:trHeight w:val="503" w:hRule="atLeast"/>
        </w:trPr>
        <w:tc>
          <w:tcPr>
            <w:tcW w:w="7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ind w:left="323"/>
              <w:spacing w:before="165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最高支付限额</w:t>
            </w:r>
          </w:p>
        </w:tc>
        <w:tc>
          <w:tcPr>
            <w:tcW w:w="5810" w:type="dxa"/>
            <w:vAlign w:val="top"/>
            <w:gridSpan w:val="3"/>
          </w:tcPr>
          <w:p>
            <w:pPr>
              <w:ind w:left="876"/>
              <w:spacing w:before="164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一个自然年度内，基本医保最高支付限额为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15万元</w:t>
            </w:r>
          </w:p>
        </w:tc>
      </w:tr>
      <w:tr>
        <w:trPr>
          <w:trHeight w:val="749" w:hRule="atLeast"/>
        </w:trPr>
        <w:tc>
          <w:tcPr>
            <w:tcW w:w="7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52" w:type="dxa"/>
            <w:vAlign w:val="top"/>
            <w:gridSpan w:val="4"/>
          </w:tcPr>
          <w:p>
            <w:pPr>
              <w:ind w:left="721"/>
              <w:spacing w:before="174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注：1.中医医疗机构住院就医的起付标准降低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100元，起付标准最低为100元</w:t>
            </w:r>
          </w:p>
          <w:p>
            <w:pPr>
              <w:ind w:left="496"/>
              <w:spacing w:before="1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2.学生和其他未成年人住院报销比例在成年居民支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付比例的基础上提高</w:t>
            </w:r>
            <w:r>
              <w:rPr>
                <w:rFonts w:ascii="SimSun" w:hAnsi="SimSun" w:eastAsia="SimSun" w:cs="SimSun"/>
                <w:sz w:val="18"/>
                <w:szCs w:val="18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5个百分点</w:t>
            </w:r>
          </w:p>
        </w:tc>
      </w:tr>
      <w:tr>
        <w:trPr>
          <w:trHeight w:val="512" w:hRule="atLeast"/>
        </w:trPr>
        <w:tc>
          <w:tcPr>
            <w:tcW w:w="7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28"/>
              <w:spacing w:before="58" w:line="226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2"/>
              </w:rPr>
              <w:t>门诊慢特病</w:t>
            </w:r>
          </w:p>
        </w:tc>
        <w:tc>
          <w:tcPr>
            <w:tcW w:w="17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506"/>
              <w:spacing w:before="58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起付标准</w:t>
            </w:r>
          </w:p>
        </w:tc>
        <w:tc>
          <w:tcPr>
            <w:tcW w:w="5810" w:type="dxa"/>
            <w:vAlign w:val="top"/>
            <w:gridSpan w:val="3"/>
          </w:tcPr>
          <w:p>
            <w:pPr>
              <w:ind w:left="2682"/>
              <w:spacing w:before="171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500元</w:t>
            </w:r>
          </w:p>
        </w:tc>
      </w:tr>
      <w:tr>
        <w:trPr>
          <w:trHeight w:val="785" w:hRule="atLeast"/>
        </w:trPr>
        <w:tc>
          <w:tcPr>
            <w:tcW w:w="7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810" w:type="dxa"/>
            <w:vAlign w:val="top"/>
            <w:gridSpan w:val="3"/>
          </w:tcPr>
          <w:p>
            <w:pPr>
              <w:ind w:left="455"/>
              <w:spacing w:before="195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注：1.门诊慢特病定点在中医医疗机构的</w:t>
            </w:r>
            <w:r>
              <w:rPr>
                <w:rFonts w:ascii="SimSun" w:hAnsi="SimSun" w:eastAsia="SimSun" w:cs="SimSun"/>
                <w:sz w:val="18"/>
                <w:szCs w:val="18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，起付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标准为400元</w:t>
            </w:r>
          </w:p>
          <w:p>
            <w:pPr>
              <w:ind w:left="136"/>
              <w:spacing w:before="1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2.门诊慢特病中血友病</w:t>
            </w:r>
            <w:r>
              <w:rPr>
                <w:rFonts w:ascii="SimSun" w:hAnsi="SimSun" w:eastAsia="SimSun" w:cs="SimSun"/>
                <w:sz w:val="18"/>
                <w:szCs w:val="18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、尿毒症、严重精神障碍治疗</w:t>
            </w:r>
            <w:r>
              <w:rPr>
                <w:rFonts w:ascii="SimSun" w:hAnsi="SimSun" w:eastAsia="SimSun" w:cs="SimSun"/>
                <w:sz w:val="18"/>
                <w:szCs w:val="18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，不设起付标准</w:t>
            </w:r>
          </w:p>
        </w:tc>
      </w:tr>
      <w:tr>
        <w:trPr>
          <w:trHeight w:val="785" w:hRule="atLeast"/>
        </w:trPr>
        <w:tc>
          <w:tcPr>
            <w:tcW w:w="7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504"/>
              <w:spacing w:before="58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报销比例</w:t>
            </w:r>
          </w:p>
        </w:tc>
        <w:tc>
          <w:tcPr>
            <w:tcW w:w="5810" w:type="dxa"/>
            <w:vAlign w:val="top"/>
            <w:gridSpan w:val="3"/>
          </w:tcPr>
          <w:p>
            <w:pPr>
              <w:ind w:left="1963"/>
              <w:spacing w:before="198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甲类病种报销比例为70%</w:t>
            </w:r>
          </w:p>
          <w:p>
            <w:pPr>
              <w:ind w:left="287"/>
              <w:spacing w:before="11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乙类病种在一、二、三级医疗机构报销比例分别为65%、5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5%、45%</w:t>
            </w:r>
          </w:p>
        </w:tc>
      </w:tr>
      <w:tr>
        <w:trPr>
          <w:trHeight w:val="785" w:hRule="atLeast"/>
        </w:trPr>
        <w:tc>
          <w:tcPr>
            <w:tcW w:w="7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323"/>
              <w:spacing w:before="58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最高支付限额</w:t>
            </w:r>
          </w:p>
        </w:tc>
        <w:tc>
          <w:tcPr>
            <w:tcW w:w="5810" w:type="dxa"/>
            <w:vAlign w:val="top"/>
            <w:gridSpan w:val="3"/>
          </w:tcPr>
          <w:p>
            <w:pPr>
              <w:ind w:left="2011" w:right="18" w:hanging="1949"/>
              <w:spacing w:before="200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甲类病种15万元，乙类病种6000元，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同时患有甲类和乙类慢特病的</w:t>
            </w:r>
            <w:r>
              <w:rPr>
                <w:rFonts w:ascii="SimSun" w:hAnsi="SimSun" w:eastAsia="SimSun" w:cs="SimSun"/>
                <w:sz w:val="18"/>
                <w:szCs w:val="18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，按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甲类病种政策进行支付</w:t>
            </w:r>
          </w:p>
        </w:tc>
      </w:tr>
      <w:tr>
        <w:trPr>
          <w:trHeight w:val="503" w:hRule="atLeast"/>
        </w:trPr>
        <w:tc>
          <w:tcPr>
            <w:tcW w:w="7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313"/>
              <w:spacing w:before="59" w:line="226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3"/>
              </w:rPr>
              <w:t>普通门诊</w:t>
            </w:r>
          </w:p>
        </w:tc>
        <w:tc>
          <w:tcPr>
            <w:tcW w:w="1742" w:type="dxa"/>
            <w:vAlign w:val="top"/>
          </w:tcPr>
          <w:p>
            <w:pPr>
              <w:ind w:left="506"/>
              <w:spacing w:before="175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起付标准</w:t>
            </w:r>
          </w:p>
        </w:tc>
        <w:tc>
          <w:tcPr>
            <w:tcW w:w="5810" w:type="dxa"/>
            <w:vAlign w:val="top"/>
            <w:gridSpan w:val="3"/>
          </w:tcPr>
          <w:p>
            <w:pPr>
              <w:ind w:left="2773"/>
              <w:spacing w:before="175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0元</w:t>
            </w:r>
          </w:p>
        </w:tc>
      </w:tr>
      <w:tr>
        <w:trPr>
          <w:trHeight w:val="503" w:hRule="atLeast"/>
        </w:trPr>
        <w:tc>
          <w:tcPr>
            <w:tcW w:w="7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ind w:left="504"/>
              <w:spacing w:before="175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报销比例</w:t>
            </w:r>
          </w:p>
        </w:tc>
        <w:tc>
          <w:tcPr>
            <w:tcW w:w="5810" w:type="dxa"/>
            <w:vAlign w:val="top"/>
            <w:gridSpan w:val="3"/>
          </w:tcPr>
          <w:p>
            <w:pPr>
              <w:ind w:left="1567"/>
              <w:spacing w:before="174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基层医疗卫生机构报销比例：</w:t>
            </w:r>
            <w:r>
              <w:rPr>
                <w:rFonts w:ascii="SimSun" w:hAnsi="SimSun" w:eastAsia="SimSun" w:cs="SimSun"/>
                <w:sz w:val="18"/>
                <w:szCs w:val="18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65%</w:t>
            </w:r>
          </w:p>
        </w:tc>
      </w:tr>
      <w:tr>
        <w:trPr>
          <w:trHeight w:val="503" w:hRule="atLeast"/>
        </w:trPr>
        <w:tc>
          <w:tcPr>
            <w:tcW w:w="7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ind w:left="323"/>
              <w:spacing w:before="173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最高支付限额</w:t>
            </w:r>
          </w:p>
        </w:tc>
        <w:tc>
          <w:tcPr>
            <w:tcW w:w="5810" w:type="dxa"/>
            <w:vAlign w:val="top"/>
            <w:gridSpan w:val="3"/>
          </w:tcPr>
          <w:p>
            <w:pPr>
              <w:ind w:left="921"/>
              <w:spacing w:before="173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一个自然年度内，普通门诊最高支付限额为300元</w:t>
            </w:r>
          </w:p>
        </w:tc>
      </w:tr>
      <w:tr>
        <w:trPr>
          <w:trHeight w:val="503" w:hRule="atLeast"/>
        </w:trPr>
        <w:tc>
          <w:tcPr>
            <w:tcW w:w="7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313" w:right="308" w:firstLine="4"/>
              <w:spacing w:before="59" w:line="231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1"/>
              </w:rPr>
              <w:t>两病门诊</w:t>
            </w:r>
            <w:r>
              <w:rPr>
                <w:rFonts w:ascii="SimHei" w:hAnsi="SimHei" w:eastAsia="SimHei" w:cs="SimHei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18"/>
                <w:szCs w:val="18"/>
                <w:spacing w:val="3"/>
              </w:rPr>
              <w:t>用药保障</w:t>
            </w:r>
          </w:p>
        </w:tc>
        <w:tc>
          <w:tcPr>
            <w:tcW w:w="1742" w:type="dxa"/>
            <w:vAlign w:val="top"/>
          </w:tcPr>
          <w:p>
            <w:pPr>
              <w:ind w:left="506"/>
              <w:spacing w:before="176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起付标准</w:t>
            </w:r>
          </w:p>
        </w:tc>
        <w:tc>
          <w:tcPr>
            <w:tcW w:w="5810" w:type="dxa"/>
            <w:vAlign w:val="top"/>
            <w:gridSpan w:val="3"/>
          </w:tcPr>
          <w:p>
            <w:pPr>
              <w:ind w:left="2773"/>
              <w:spacing w:before="176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0元</w:t>
            </w:r>
          </w:p>
        </w:tc>
      </w:tr>
      <w:tr>
        <w:trPr>
          <w:trHeight w:val="503" w:hRule="atLeast"/>
        </w:trPr>
        <w:tc>
          <w:tcPr>
            <w:tcW w:w="7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ind w:left="504"/>
              <w:spacing w:before="174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报销比例</w:t>
            </w:r>
          </w:p>
        </w:tc>
        <w:tc>
          <w:tcPr>
            <w:tcW w:w="5810" w:type="dxa"/>
            <w:vAlign w:val="top"/>
            <w:gridSpan w:val="3"/>
          </w:tcPr>
          <w:p>
            <w:pPr>
              <w:ind w:left="2775"/>
              <w:spacing w:before="174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1"/>
              </w:rPr>
              <w:t>75%</w:t>
            </w:r>
          </w:p>
        </w:tc>
      </w:tr>
      <w:tr>
        <w:trPr>
          <w:trHeight w:val="503" w:hRule="atLeast"/>
        </w:trPr>
        <w:tc>
          <w:tcPr>
            <w:tcW w:w="71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ind w:left="323"/>
              <w:spacing w:before="177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最高支付限额</w:t>
            </w:r>
          </w:p>
        </w:tc>
        <w:tc>
          <w:tcPr>
            <w:tcW w:w="5810" w:type="dxa"/>
            <w:vAlign w:val="top"/>
            <w:gridSpan w:val="3"/>
          </w:tcPr>
          <w:p>
            <w:pPr>
              <w:ind w:left="1291" w:right="73" w:hanging="1202"/>
              <w:spacing w:before="62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一个自然年度内高血压</w:t>
            </w:r>
            <w:r>
              <w:rPr>
                <w:rFonts w:ascii="SimSun" w:hAnsi="SimSun" w:eastAsia="SimSun" w:cs="SimSun"/>
                <w:sz w:val="18"/>
                <w:szCs w:val="18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、糖尿病最高支付限额均为300元，合并两病及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使用胰岛素治疗的最高支付限额为600元</w:t>
            </w:r>
          </w:p>
        </w:tc>
      </w:tr>
      <w:tr>
        <w:trPr>
          <w:trHeight w:val="953" w:hRule="atLeast"/>
        </w:trPr>
        <w:tc>
          <w:tcPr>
            <w:tcW w:w="7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75" w:right="70" w:firstLine="1"/>
              <w:spacing w:before="59" w:line="231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3"/>
              </w:rPr>
              <w:t>居民大</w:t>
            </w:r>
            <w:r>
              <w:rPr>
                <w:rFonts w:ascii="SimHei" w:hAnsi="SimHei" w:eastAsia="SimHei" w:cs="SimHei"/>
                <w:sz w:val="18"/>
                <w:szCs w:val="18"/>
              </w:rPr>
              <w:t xml:space="preserve"> </w:t>
            </w:r>
            <w:r>
              <w:rPr>
                <w:rFonts w:ascii="SimHei" w:hAnsi="SimHei" w:eastAsia="SimHei" w:cs="SimHei"/>
                <w:sz w:val="18"/>
                <w:szCs w:val="18"/>
                <w:spacing w:val="3"/>
              </w:rPr>
              <w:t>病保险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124"/>
              <w:spacing w:before="58" w:line="226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4"/>
              </w:rPr>
              <w:t>个人负担部分</w:t>
            </w:r>
          </w:p>
        </w:tc>
        <w:tc>
          <w:tcPr>
            <w:tcW w:w="7552" w:type="dxa"/>
            <w:vAlign w:val="top"/>
            <w:gridSpan w:val="4"/>
          </w:tcPr>
          <w:p>
            <w:pPr>
              <w:ind w:left="1004" w:right="111" w:hanging="879"/>
              <w:spacing w:before="287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一个自然年度内，个人负担的住院（含门诊慢特病）政策范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围内医疗费用超过</w:t>
            </w:r>
            <w:r>
              <w:rPr>
                <w:rFonts w:ascii="SimSun" w:hAnsi="SimSun" w:eastAsia="SimSun" w:cs="SimSun"/>
                <w:sz w:val="18"/>
                <w:szCs w:val="18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1.4万元以上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部分，分段进行报销（分段报销比例如下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）</w:t>
            </w:r>
            <w:r>
              <w:rPr>
                <w:rFonts w:ascii="SimSun" w:hAnsi="SimSun" w:eastAsia="SimSun" w:cs="SimSun"/>
                <w:sz w:val="18"/>
                <w:szCs w:val="18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，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最高支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付限额为40万元</w:t>
            </w:r>
          </w:p>
        </w:tc>
      </w:tr>
      <w:tr>
        <w:trPr>
          <w:trHeight w:val="503" w:hRule="atLeast"/>
        </w:trPr>
        <w:tc>
          <w:tcPr>
            <w:tcW w:w="713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ind w:left="145"/>
              <w:spacing w:before="179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1.4万（含）-10万</w:t>
            </w:r>
          </w:p>
        </w:tc>
        <w:tc>
          <w:tcPr>
            <w:tcW w:w="1934" w:type="dxa"/>
            <w:vAlign w:val="top"/>
          </w:tcPr>
          <w:p>
            <w:pPr>
              <w:ind w:left="291"/>
              <w:spacing w:before="179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10万（含）-20万</w:t>
            </w:r>
          </w:p>
        </w:tc>
        <w:tc>
          <w:tcPr>
            <w:tcW w:w="1934" w:type="dxa"/>
            <w:vAlign w:val="top"/>
          </w:tcPr>
          <w:p>
            <w:pPr>
              <w:ind w:left="280"/>
              <w:spacing w:before="179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20万（含）-30万</w:t>
            </w:r>
          </w:p>
        </w:tc>
        <w:tc>
          <w:tcPr>
            <w:tcW w:w="1942" w:type="dxa"/>
            <w:vAlign w:val="top"/>
          </w:tcPr>
          <w:p>
            <w:pPr>
              <w:ind w:left="520"/>
              <w:spacing w:before="17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30万及以上</w:t>
            </w:r>
          </w:p>
        </w:tc>
      </w:tr>
      <w:tr>
        <w:trPr>
          <w:trHeight w:val="511" w:hRule="atLeast"/>
        </w:trPr>
        <w:tc>
          <w:tcPr>
            <w:tcW w:w="713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ind w:left="735"/>
              <w:spacing w:before="179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1"/>
              </w:rPr>
              <w:t>60%</w:t>
            </w:r>
          </w:p>
        </w:tc>
        <w:tc>
          <w:tcPr>
            <w:tcW w:w="1934" w:type="dxa"/>
            <w:vAlign w:val="top"/>
          </w:tcPr>
          <w:p>
            <w:pPr>
              <w:ind w:left="836"/>
              <w:spacing w:before="179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1"/>
              </w:rPr>
              <w:t>65%</w:t>
            </w:r>
          </w:p>
        </w:tc>
        <w:tc>
          <w:tcPr>
            <w:tcW w:w="1934" w:type="dxa"/>
            <w:vAlign w:val="top"/>
          </w:tcPr>
          <w:p>
            <w:pPr>
              <w:ind w:left="840"/>
              <w:spacing w:before="179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1"/>
              </w:rPr>
              <w:t>70%</w:t>
            </w:r>
          </w:p>
        </w:tc>
        <w:tc>
          <w:tcPr>
            <w:tcW w:w="1942" w:type="dxa"/>
            <w:vAlign w:val="top"/>
          </w:tcPr>
          <w:p>
            <w:pPr>
              <w:ind w:left="845"/>
              <w:spacing w:before="179" w:line="238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1"/>
              </w:rPr>
              <w:t>75%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1" w:right="1181" w:bottom="0" w:left="107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63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13"/>
        <w:gridCol w:w="1370"/>
        <w:gridCol w:w="7552"/>
      </w:tblGrid>
      <w:tr>
        <w:trPr>
          <w:trHeight w:val="506" w:hRule="atLeast"/>
        </w:trPr>
        <w:tc>
          <w:tcPr>
            <w:tcW w:w="713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0" w:type="dxa"/>
            <w:vAlign w:val="top"/>
          </w:tcPr>
          <w:p>
            <w:pPr>
              <w:ind w:left="310"/>
              <w:spacing w:before="172" w:line="227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3"/>
              </w:rPr>
              <w:t>特药部分</w:t>
            </w:r>
          </w:p>
        </w:tc>
        <w:tc>
          <w:tcPr>
            <w:tcW w:w="7552" w:type="dxa"/>
            <w:vAlign w:val="top"/>
          </w:tcPr>
          <w:p>
            <w:pPr>
              <w:ind w:left="3598" w:right="60" w:hanging="3522"/>
              <w:spacing w:before="57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一个自然年度内，省规定的特药部分</w:t>
            </w:r>
            <w:r>
              <w:rPr>
                <w:rFonts w:ascii="SimSun" w:hAnsi="SimSun" w:eastAsia="SimSun" w:cs="SimSun"/>
                <w:sz w:val="18"/>
                <w:szCs w:val="18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，个人负担2万以上，报销比例80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%，最高支付限额为40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万元</w:t>
            </w:r>
          </w:p>
        </w:tc>
      </w:tr>
      <w:tr>
        <w:trPr>
          <w:trHeight w:val="498" w:hRule="atLeast"/>
        </w:trPr>
        <w:tc>
          <w:tcPr>
            <w:tcW w:w="2083" w:type="dxa"/>
            <w:vAlign w:val="top"/>
            <w:gridSpan w:val="2"/>
          </w:tcPr>
          <w:p>
            <w:pPr>
              <w:ind w:left="483"/>
              <w:spacing w:before="170" w:line="228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4"/>
              </w:rPr>
              <w:t>居民生育待遇</w:t>
            </w:r>
          </w:p>
        </w:tc>
        <w:tc>
          <w:tcPr>
            <w:tcW w:w="7552" w:type="dxa"/>
            <w:vAlign w:val="top"/>
          </w:tcPr>
          <w:p>
            <w:pPr>
              <w:ind w:left="73"/>
              <w:spacing w:before="170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居民住院分娩补助标准：生育一孩补助1800元，生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育二孩补助2000元，生育三孩补助3000元</w:t>
            </w:r>
          </w:p>
        </w:tc>
      </w:tr>
      <w:tr>
        <w:trPr>
          <w:trHeight w:val="342" w:hRule="atLeast"/>
        </w:trPr>
        <w:tc>
          <w:tcPr>
            <w:tcW w:w="9635" w:type="dxa"/>
            <w:vAlign w:val="top"/>
            <w:gridSpan w:val="3"/>
          </w:tcPr>
          <w:p>
            <w:pPr>
              <w:ind w:left="3530"/>
              <w:spacing w:before="91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此表仅供参考，以政策文件为准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431" w:right="1181" w:bottom="0" w:left="107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济宁医保待遇科</dc:creator>
  <dcterms:created xsi:type="dcterms:W3CDTF">2025-08-01T12:20:41Z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2025-08-01T12:23:16</vt:filetime>
  </property>
</Properties>
</file>