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宋体" w:eastAsia="仿宋_GB2312" w:cs="宋体"/>
          <w:b w:val="0"/>
          <w:bCs w:val="0"/>
          <w:color w:val="000000"/>
          <w:sz w:val="32"/>
          <w:szCs w:val="32"/>
          <w:shd w:val="clear" w:color="auto" w:fill="FFFFFF"/>
          <w:lang w:val="en-US" w:eastAsia="zh-CN"/>
        </w:rPr>
      </w:pPr>
    </w:p>
    <w:p>
      <w:pPr>
        <w:pStyle w:val="2"/>
        <w:rPr>
          <w:rFonts w:hint="default"/>
          <w:lang w:val="en-US" w:eastAsia="zh-CN"/>
        </w:rPr>
      </w:pPr>
    </w:p>
    <w:p>
      <w:pPr>
        <w:jc w:val="center"/>
        <w:rPr>
          <w:rFonts w:hint="eastAsia" w:ascii="Times New Roman" w:hAnsi="Times New Roman" w:eastAsia="方正仿宋简体" w:cs="宋体"/>
          <w:b/>
          <w:bCs/>
          <w:color w:val="000000"/>
          <w:sz w:val="32"/>
          <w:szCs w:val="32"/>
          <w:shd w:val="clear" w:color="auto" w:fill="FFFFFF"/>
          <w:lang w:eastAsia="zh-CN"/>
        </w:rPr>
      </w:pPr>
    </w:p>
    <w:p>
      <w:pPr>
        <w:pStyle w:val="2"/>
        <w:rPr>
          <w:rFonts w:hint="eastAsia" w:ascii="Times New Roman" w:hAnsi="Times New Roman" w:eastAsia="方正仿宋简体" w:cs="宋体"/>
          <w:b/>
          <w:bCs/>
          <w:color w:val="000000"/>
          <w:sz w:val="32"/>
          <w:szCs w:val="32"/>
          <w:shd w:val="clear" w:color="auto" w:fill="FFFFFF"/>
          <w:lang w:eastAsia="zh-CN"/>
        </w:rPr>
      </w:pPr>
    </w:p>
    <w:p>
      <w:pPr>
        <w:pStyle w:val="2"/>
        <w:rPr>
          <w:rFonts w:hint="eastAsia" w:ascii="Times New Roman" w:hAnsi="Times New Roman" w:eastAsia="方正仿宋简体" w:cs="宋体"/>
          <w:b/>
          <w:bCs/>
          <w:color w:val="000000"/>
          <w:sz w:val="32"/>
          <w:szCs w:val="32"/>
          <w:shd w:val="clear" w:color="auto" w:fill="FFFFFF"/>
          <w:lang w:eastAsia="zh-CN"/>
        </w:rPr>
      </w:pPr>
    </w:p>
    <w:p>
      <w:pPr>
        <w:pStyle w:val="2"/>
        <w:rPr>
          <w:rFonts w:hint="eastAsia" w:ascii="Times New Roman" w:hAnsi="Times New Roman" w:eastAsia="方正仿宋简体" w:cs="宋体"/>
          <w:b/>
          <w:bCs/>
          <w:color w:val="000000"/>
          <w:sz w:val="32"/>
          <w:szCs w:val="32"/>
          <w:shd w:val="clear" w:color="auto" w:fill="FFFFFF"/>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Times New Roman" w:hAnsi="Times New Roman" w:eastAsia="方正仿宋简体" w:cs="宋体"/>
          <w:b/>
          <w:bCs/>
          <w:color w:val="000000"/>
          <w:sz w:val="32"/>
          <w:szCs w:val="32"/>
          <w:shd w:val="clear" w:color="auto" w:fill="FFFFFF"/>
          <w:lang w:eastAsia="zh-CN"/>
        </w:rPr>
        <w:t>济医保发〔</w:t>
      </w:r>
      <w:r>
        <w:rPr>
          <w:rFonts w:hint="eastAsia" w:ascii="Times New Roman" w:hAnsi="Times New Roman" w:eastAsia="方正仿宋简体" w:cs="宋体"/>
          <w:b/>
          <w:bCs/>
          <w:color w:val="000000"/>
          <w:sz w:val="32"/>
          <w:szCs w:val="32"/>
          <w:shd w:val="clear" w:color="auto" w:fill="FFFFFF"/>
          <w:lang w:val="en-US" w:eastAsia="zh-CN"/>
        </w:rPr>
        <w:t>2022</w:t>
      </w:r>
      <w:r>
        <w:rPr>
          <w:rFonts w:hint="eastAsia" w:ascii="Times New Roman" w:hAnsi="Times New Roman" w:eastAsia="方正仿宋简体" w:cs="宋体"/>
          <w:b/>
          <w:bCs/>
          <w:color w:val="000000"/>
          <w:sz w:val="32"/>
          <w:szCs w:val="32"/>
          <w:shd w:val="clear" w:color="auto" w:fill="FFFFFF"/>
          <w:lang w:eastAsia="zh-CN"/>
        </w:rPr>
        <w:t>〕</w:t>
      </w:r>
      <w:r>
        <w:rPr>
          <w:rFonts w:hint="eastAsia" w:ascii="Times New Roman" w:hAnsi="Times New Roman" w:eastAsia="方正仿宋简体" w:cs="宋体"/>
          <w:b/>
          <w:bCs/>
          <w:color w:val="000000"/>
          <w:sz w:val="32"/>
          <w:szCs w:val="32"/>
          <w:shd w:val="clear" w:color="auto" w:fill="FFFFFF"/>
          <w:lang w:val="en-US" w:eastAsia="zh-CN"/>
        </w:rPr>
        <w:t>16号</w:t>
      </w:r>
    </w:p>
    <w:p>
      <w:pP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b/>
          <w:bCs/>
          <w:w w:val="93"/>
          <w:sz w:val="44"/>
          <w:szCs w:val="44"/>
          <w:lang w:val="en-US" w:eastAsia="zh-CN"/>
        </w:rPr>
      </w:pPr>
      <w:r>
        <w:rPr>
          <w:rFonts w:hint="eastAsia" w:ascii="方正小标宋简体" w:hAnsi="方正小标宋简体" w:eastAsia="方正小标宋简体" w:cs="方正小标宋简体"/>
          <w:b/>
          <w:bCs/>
          <w:w w:val="93"/>
          <w:sz w:val="44"/>
          <w:szCs w:val="44"/>
          <w:lang w:eastAsia="zh-CN"/>
        </w:rPr>
        <w:t>关于进一步</w:t>
      </w:r>
      <w:r>
        <w:rPr>
          <w:rFonts w:hint="eastAsia" w:ascii="方正小标宋简体" w:hAnsi="方正小标宋简体" w:eastAsia="方正小标宋简体" w:cs="方正小标宋简体"/>
          <w:b/>
          <w:bCs/>
          <w:w w:val="89"/>
          <w:sz w:val="44"/>
          <w:szCs w:val="44"/>
          <w:lang w:val="en-US" w:eastAsia="zh-CN"/>
        </w:rPr>
        <w:t>提高职工大病保险待遇的通知</w:t>
      </w:r>
    </w:p>
    <w:p>
      <w:pPr>
        <w:pStyle w:val="2"/>
        <w:rPr>
          <w:rFonts w:hint="eastAsia"/>
          <w:lang w:val="en-US" w:eastAsia="zh-CN"/>
        </w:rPr>
      </w:pPr>
    </w:p>
    <w:p>
      <w:pPr>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default" w:ascii="Times New Roman" w:hAnsi="Times New Roman" w:eastAsia="方正仿宋简体" w:cs="方正仿宋简体"/>
          <w:b/>
          <w:bCs/>
          <w:i w:val="0"/>
          <w:caps w:val="0"/>
          <w:color w:val="000000"/>
          <w:spacing w:val="0"/>
          <w:kern w:val="0"/>
          <w:sz w:val="32"/>
          <w:szCs w:val="32"/>
          <w:shd w:val="clear" w:color="auto" w:fill="FFFFFF"/>
          <w:lang w:val="en-US" w:eastAsia="zh-CN" w:bidi="ar"/>
        </w:rPr>
        <w:t>各县（市、区）医疗保障局</w:t>
      </w: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w:t>
      </w:r>
      <w:r>
        <w:rPr>
          <w:rFonts w:hint="default" w:ascii="Times New Roman" w:hAnsi="Times New Roman" w:eastAsia="方正仿宋简体" w:cs="方正仿宋简体"/>
          <w:b/>
          <w:bCs/>
          <w:i w:val="0"/>
          <w:caps w:val="0"/>
          <w:color w:val="000000"/>
          <w:spacing w:val="0"/>
          <w:kern w:val="0"/>
          <w:sz w:val="32"/>
          <w:szCs w:val="32"/>
          <w:shd w:val="clear" w:color="auto" w:fill="FFFFFF"/>
          <w:lang w:val="en-US" w:eastAsia="zh-CN" w:bidi="ar"/>
        </w:rPr>
        <w:t>济宁高新区人力资源服务中心、太白湖新区社会保障事业服务中心、济宁经济技术开发区人力资源和社会保障服务中心</w:t>
      </w: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，兖矿集团人力资源服务中心</w:t>
      </w:r>
      <w:r>
        <w:rPr>
          <w:rFonts w:hint="default" w:ascii="Times New Roman" w:hAnsi="Times New Roman" w:eastAsia="方正仿宋简体" w:cs="方正仿宋简体"/>
          <w:b/>
          <w:bCs/>
          <w:i w:val="0"/>
          <w:caps w:val="0"/>
          <w:color w:val="000000"/>
          <w:spacing w:val="0"/>
          <w:kern w:val="0"/>
          <w:sz w:val="32"/>
          <w:szCs w:val="32"/>
          <w:shd w:val="clear" w:color="auto" w:fill="FFFFFF"/>
          <w:lang w:val="en-US" w:eastAsia="zh-CN" w:bidi="ar"/>
        </w:rPr>
        <w:t>：</w:t>
      </w:r>
    </w:p>
    <w:p>
      <w:pPr>
        <w:ind w:firstLine="643" w:firstLineChars="200"/>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为贯彻落实市委、市政府《关于深化医疗保障制度改革的实施意见》（济发〔2022〕5号），进一步提高我市参保职工重特大疾病医疗保障待遇水平，减轻参保职工医疗费用个人负担，结合大病保险基金运行情况，经研究，确定提高我市职工大病保险待遇，现将有关事项通知如下。</w:t>
      </w:r>
    </w:p>
    <w:p>
      <w:pPr>
        <w:numPr>
          <w:ilvl w:val="0"/>
          <w:numId w:val="0"/>
        </w:numPr>
        <w:ind w:firstLine="643" w:firstLineChars="200"/>
        <w:jc w:val="left"/>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方正黑体简体" w:hAnsi="方正黑体简体" w:eastAsia="方正黑体简体" w:cs="方正黑体简体"/>
          <w:b/>
          <w:bCs/>
          <w:i w:val="0"/>
          <w:caps w:val="0"/>
          <w:color w:val="000000"/>
          <w:spacing w:val="0"/>
          <w:kern w:val="0"/>
          <w:sz w:val="32"/>
          <w:szCs w:val="32"/>
          <w:shd w:val="clear" w:color="auto" w:fill="FFFFFF"/>
          <w:lang w:val="en-US" w:eastAsia="zh-CN" w:bidi="ar"/>
        </w:rPr>
        <w:t>一、降低起付标准。</w:t>
      </w: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参保职工发生的住院费用，经职工医保基本医疗保险、职工大额医疗费用补助（市级统筹大病保险）、公务员医疗补助和企业补充保险报销后，参保职工</w:t>
      </w:r>
      <w:bookmarkStart w:id="0" w:name="_GoBack"/>
      <w:bookmarkEnd w:id="0"/>
    </w:p>
    <w:p>
      <w:pPr>
        <w:numPr>
          <w:ilvl w:val="0"/>
          <w:numId w:val="0"/>
        </w:numPr>
        <w:jc w:val="left"/>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政策范围内住院个人负担费用（含职工市级统筹大病保险医疗费用补助最高支付限额以上的符合医保规定的费用），超过2万元以上的部分，支付比例为80%，一个年度内基金最高支付40万元。</w:t>
      </w:r>
    </w:p>
    <w:p>
      <w:pPr>
        <w:numPr>
          <w:ilvl w:val="0"/>
          <w:numId w:val="0"/>
        </w:numPr>
        <w:ind w:firstLine="640"/>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方正黑体简体" w:hAnsi="方正黑体简体" w:eastAsia="方正黑体简体" w:cs="方正黑体简体"/>
          <w:b/>
          <w:bCs/>
          <w:i w:val="0"/>
          <w:caps w:val="0"/>
          <w:color w:val="000000"/>
          <w:spacing w:val="0"/>
          <w:kern w:val="0"/>
          <w:sz w:val="32"/>
          <w:szCs w:val="32"/>
          <w:shd w:val="clear" w:color="auto" w:fill="FFFFFF"/>
          <w:lang w:val="en-US" w:eastAsia="zh-CN" w:bidi="ar"/>
        </w:rPr>
        <w:t>二、及时结算费用。</w:t>
      </w: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本《通知》自2021年1月1日起执行。我市原有政策与本《通知》不一致的，按照本《通知》规定执行。对2021年1月1日以来参保职工发生的医疗费用，符合本《通知》规定纳入报销的，各级医保经办机构要做好补报工作。市医疗保险事业中心要加强协调、及时调整医保信息系统，实现参保职工大额医疗费用补助在医疗机构联网即时结算。</w:t>
      </w:r>
    </w:p>
    <w:p>
      <w:pPr>
        <w:pStyle w:val="2"/>
        <w:ind w:left="0" w:leftChars="0" w:firstLine="0" w:firstLineChars="0"/>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p>
    <w:p>
      <w:pPr>
        <w:numPr>
          <w:ilvl w:val="0"/>
          <w:numId w:val="0"/>
        </w:numPr>
        <w:ind w:firstLine="321" w:firstLineChars="100"/>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p>
    <w:p>
      <w:pPr>
        <w:numPr>
          <w:ilvl w:val="0"/>
          <w:numId w:val="0"/>
        </w:numPr>
        <w:ind w:firstLine="4819" w:firstLineChars="1500"/>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 xml:space="preserve">济宁市医疗保障局          </w:t>
      </w:r>
    </w:p>
    <w:p>
      <w:pPr>
        <w:numPr>
          <w:ilvl w:val="0"/>
          <w:numId w:val="0"/>
        </w:numPr>
        <w:ind w:left="638" w:leftChars="304" w:firstLine="0" w:firstLineChars="0"/>
        <w:jc w:val="both"/>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 xml:space="preserve">                          2022年7月21日</w:t>
      </w:r>
    </w:p>
    <w:p>
      <w:pPr>
        <w:pStyle w:val="2"/>
        <w:ind w:left="0" w:leftChars="0" w:firstLine="643" w:firstLineChars="200"/>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r>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t>（信息公开方式：主动公开）</w:t>
      </w:r>
    </w:p>
    <w:p>
      <w:pPr>
        <w:pStyle w:val="2"/>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p>
    <w:p>
      <w:pPr>
        <w:pStyle w:val="2"/>
        <w:ind w:left="0" w:leftChars="0" w:firstLine="0" w:firstLineChars="0"/>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p>
    <w:p>
      <w:pPr>
        <w:pStyle w:val="2"/>
        <w:rPr>
          <w:rFonts w:hint="eastAsia" w:ascii="Times New Roman" w:hAnsi="Times New Roman" w:eastAsia="方正仿宋简体" w:cs="方正仿宋简体"/>
          <w:b/>
          <w:bCs/>
          <w:i w:val="0"/>
          <w:caps w:val="0"/>
          <w:color w:val="000000"/>
          <w:spacing w:val="0"/>
          <w:kern w:val="0"/>
          <w:sz w:val="32"/>
          <w:szCs w:val="32"/>
          <w:shd w:val="clear" w:color="auto" w:fill="FFFFFF"/>
          <w:lang w:val="en-US" w:eastAsia="zh-CN" w:bidi="ar"/>
        </w:rPr>
      </w:pPr>
    </w:p>
    <w:tbl>
      <w:tblPr>
        <w:tblStyle w:val="8"/>
        <w:tblpPr w:leftFromText="180" w:rightFromText="180" w:vertAnchor="text" w:horzAnchor="page" w:tblpX="1569" w:tblpY="1344"/>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6" w:hRule="atLeast"/>
        </w:trPr>
        <w:tc>
          <w:tcPr>
            <w:tcW w:w="9060" w:type="dxa"/>
            <w:tcBorders>
              <w:tl2br w:val="nil"/>
              <w:tr2bl w:val="nil"/>
            </w:tcBorders>
            <w:noWrap w:val="0"/>
            <w:vAlign w:val="top"/>
          </w:tcPr>
          <w:p>
            <w:pPr>
              <w:keepNext w:val="0"/>
              <w:keepLines w:val="0"/>
              <w:pageBreakBefore w:val="0"/>
              <w:widowControl w:val="0"/>
              <w:kinsoku/>
              <w:wordWrap w:val="0"/>
              <w:overflowPunct/>
              <w:topLinePunct w:val="0"/>
              <w:autoSpaceDE/>
              <w:autoSpaceDN/>
              <w:bidi w:val="0"/>
              <w:adjustRightInd/>
              <w:snapToGrid/>
              <w:spacing w:line="600" w:lineRule="exact"/>
              <w:ind w:left="0" w:leftChars="0" w:firstLine="281" w:firstLineChars="100"/>
              <w:jc w:val="both"/>
              <w:textAlignment w:val="auto"/>
              <w:rPr>
                <w:rFonts w:hint="default" w:ascii="Times New Roman" w:hAnsi="Times New Roman" w:eastAsia="方正仿宋简体" w:cs="Times New Roman"/>
                <w:b/>
                <w:bCs/>
                <w:snapToGrid w:val="0"/>
                <w:kern w:val="0"/>
                <w:sz w:val="28"/>
                <w:szCs w:val="28"/>
                <w:vertAlign w:val="baseline"/>
                <w:lang w:val="en-US" w:eastAsia="zh-CN"/>
              </w:rPr>
            </w:pPr>
            <w:r>
              <w:rPr>
                <w:rFonts w:hint="eastAsia" w:ascii="Times New Roman" w:hAnsi="Times New Roman" w:eastAsia="方正仿宋简体" w:cs="Times New Roman"/>
                <w:b/>
                <w:bCs/>
                <w:snapToGrid w:val="0"/>
                <w:kern w:val="0"/>
                <w:sz w:val="28"/>
                <w:szCs w:val="28"/>
                <w:vertAlign w:val="baseline"/>
                <w:lang w:val="en-US" w:eastAsia="zh-CN"/>
              </w:rPr>
              <w:t xml:space="preserve">济宁市医疗保障局办公室     </w:t>
            </w:r>
            <w:r>
              <w:rPr>
                <w:rFonts w:hint="eastAsia" w:eastAsia="方正仿宋简体" w:cs="Times New Roman"/>
                <w:b/>
                <w:bCs/>
                <w:snapToGrid w:val="0"/>
                <w:kern w:val="0"/>
                <w:sz w:val="28"/>
                <w:szCs w:val="28"/>
                <w:vertAlign w:val="baseline"/>
                <w:lang w:val="en-US" w:eastAsia="zh-CN"/>
              </w:rPr>
              <w:t xml:space="preserve">       </w:t>
            </w:r>
            <w:r>
              <w:rPr>
                <w:rFonts w:hint="eastAsia" w:ascii="Times New Roman" w:hAnsi="Times New Roman" w:eastAsia="方正仿宋简体" w:cs="Times New Roman"/>
                <w:b/>
                <w:bCs/>
                <w:snapToGrid w:val="0"/>
                <w:kern w:val="0"/>
                <w:sz w:val="28"/>
                <w:szCs w:val="28"/>
                <w:vertAlign w:val="baseline"/>
                <w:lang w:val="en-US" w:eastAsia="zh-CN"/>
              </w:rPr>
              <w:t xml:space="preserve">     2022年7月21日印发</w:t>
            </w:r>
          </w:p>
        </w:tc>
      </w:tr>
    </w:tbl>
    <w:p>
      <w:pPr>
        <w:pStyle w:val="2"/>
        <w:ind w:left="0" w:leftChars="0" w:firstLine="0" w:firstLineChars="0"/>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0D4478AF-C43E-449D-A7C3-2E5AFAA8B149}"/>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4923155</wp:posOffset>
              </wp:positionH>
              <wp:positionV relativeFrom="paragraph">
                <wp:posOffset>28575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7.65pt;margin-top:2.25pt;height:144pt;width:144pt;mso-position-horizontal-relative:margin;mso-wrap-style:none;z-index:251659264;mso-width-relative:page;mso-height-relative:page;" filled="f" stroked="f" coordsize="21600,21600" o:gfxdata="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EbDyd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24FE4"/>
    <w:rsid w:val="004A31E7"/>
    <w:rsid w:val="03806A50"/>
    <w:rsid w:val="122669D0"/>
    <w:rsid w:val="18915112"/>
    <w:rsid w:val="18B97BD9"/>
    <w:rsid w:val="1E182767"/>
    <w:rsid w:val="1ED05337"/>
    <w:rsid w:val="21A711DD"/>
    <w:rsid w:val="2D0476A3"/>
    <w:rsid w:val="32E75426"/>
    <w:rsid w:val="49CD7288"/>
    <w:rsid w:val="49FA571A"/>
    <w:rsid w:val="52F902AB"/>
    <w:rsid w:val="5ADF1EBE"/>
    <w:rsid w:val="5EE16B6C"/>
    <w:rsid w:val="65C7337C"/>
    <w:rsid w:val="68BC5B48"/>
    <w:rsid w:val="6C824FE4"/>
    <w:rsid w:val="786E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left="520"/>
    </w:pPr>
    <w:rPr>
      <w:kern w:val="0"/>
      <w:sz w:val="2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1306</Words>
  <Characters>1351</Characters>
  <Lines>1</Lines>
  <Paragraphs>1</Paragraphs>
  <TotalTime>29</TotalTime>
  <ScaleCrop>false</ScaleCrop>
  <LinksUpToDate>false</LinksUpToDate>
  <CharactersWithSpaces>1494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2020-12-17T08:19:00Z</dcterms:created>
  <dc:creator>吃甜不吃辣</dc:creator>
  <cp:lastModifiedBy>丸子</cp:lastModifiedBy>
  <cp:lastPrinted>2022-07-21T02:38:00Z</cp:lastPrinted>
  <dcterms:modified xsi:type="dcterms:W3CDTF">2022-07-21T03:00:16Z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57F35D92F6FC4F56A82311378FC50A09</vt:lpwstr>
  </property>
</Properties>
</file>