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ascii="仿宋_GB2312" w:hAnsi="仿宋_GB2312" w:eastAsia="仿宋_GB2312" w:cs="仿宋_GB2312"/>
          <w:i w:val="0"/>
          <w:caps w:val="0"/>
          <w:color w:val="333333"/>
          <w:spacing w:val="8"/>
          <w:sz w:val="44"/>
          <w:szCs w:val="44"/>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ascii="仿宋_GB2312" w:hAnsi="仿宋_GB2312" w:eastAsia="仿宋_GB2312" w:cs="仿宋_GB2312"/>
          <w:sz w:val="44"/>
          <w:szCs w:val="44"/>
        </w:rPr>
      </w:pPr>
      <w:bookmarkStart w:id="0" w:name="_GoBack"/>
      <w:r>
        <w:rPr>
          <w:rFonts w:hint="eastAsia" w:ascii="仿宋_GB2312" w:hAnsi="仿宋_GB2312" w:eastAsia="仿宋_GB2312" w:cs="仿宋_GB2312"/>
          <w:i w:val="0"/>
          <w:caps w:val="0"/>
          <w:color w:val="333333"/>
          <w:spacing w:val="8"/>
          <w:sz w:val="44"/>
          <w:szCs w:val="44"/>
          <w:shd w:val="clear" w:fill="FFFFFF"/>
          <w:lang w:eastAsia="zh-CN"/>
        </w:rPr>
        <w:t>医保政策——</w:t>
      </w:r>
      <w:r>
        <w:rPr>
          <w:rFonts w:hint="eastAsia" w:ascii="仿宋_GB2312" w:hAnsi="仿宋_GB2312" w:eastAsia="仿宋_GB2312" w:cs="仿宋_GB2312"/>
          <w:i w:val="0"/>
          <w:caps w:val="0"/>
          <w:color w:val="333333"/>
          <w:spacing w:val="8"/>
          <w:sz w:val="44"/>
          <w:szCs w:val="44"/>
          <w:shd w:val="clear" w:fill="FFFFFF"/>
        </w:rPr>
        <w:t>网上办理医保服务事项</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000000"/>
          <w:spacing w:val="8"/>
          <w:sz w:val="31"/>
          <w:szCs w:val="31"/>
          <w:shd w:val="clear" w:fill="FFFFFF"/>
        </w:rPr>
        <w:t>为进一步方便参保人员和参保单位办理医疗保险服务事项，有效减少人员流动带来的交叉感染，防止新型冠状病毒感染肺炎疫情扩散，更好地保障公众健康，我中心开通了多种网上业务办理渠道，现通告如下。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1"/>
          <w:szCs w:val="31"/>
          <w:shd w:val="clear" w:fill="FFFFFF"/>
        </w:rPr>
        <w:t>一、</w:t>
      </w:r>
      <w:r>
        <w:rPr>
          <w:rStyle w:val="6"/>
          <w:rFonts w:hint="eastAsia" w:ascii="仿宋_GB2312" w:hAnsi="仿宋_GB2312" w:eastAsia="仿宋_GB2312" w:cs="仿宋_GB2312"/>
          <w:i w:val="0"/>
          <w:caps w:val="0"/>
          <w:color w:val="000000"/>
          <w:spacing w:val="8"/>
          <w:sz w:val="31"/>
          <w:szCs w:val="31"/>
          <w:shd w:val="clear" w:fill="FFFFFF"/>
        </w:rPr>
        <w:t>“济宁医保”微信公众号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000000"/>
          <w:spacing w:val="8"/>
          <w:sz w:val="31"/>
          <w:szCs w:val="31"/>
          <w:shd w:val="clear" w:fill="FFFFFF"/>
        </w:rPr>
        <w:t>市直参保人员可关注“济宁医保”微信公众号进行急诊备案、转诊转院备案、异地安置备案、政策咨询、资料下载，业务办理进度查询等业务。此外，对确诊为“新型冠状病毒感染肺炎”患者及卫生健康委诊疗指南明确的疑似患者开通异地就医专用备案通道，参保人员可以通过“济宁医保”微信公众号-“绿色通道”进行备案，符合条件的参保人员直接按照异地安置政策进行特殊备案，不再执行异地转外就医支付比例调减规定。</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Style w:val="6"/>
          <w:rFonts w:hint="eastAsia" w:ascii="仿宋_GB2312" w:hAnsi="仿宋_GB2312" w:eastAsia="仿宋_GB2312" w:cs="仿宋_GB2312"/>
          <w:i w:val="0"/>
          <w:caps w:val="0"/>
          <w:color w:val="000000"/>
          <w:spacing w:val="8"/>
          <w:sz w:val="31"/>
          <w:szCs w:val="31"/>
          <w:shd w:val="clear" w:fill="FFFFFF"/>
        </w:rPr>
      </w:pPr>
      <w:r>
        <w:rPr>
          <w:rStyle w:val="6"/>
          <w:rFonts w:hint="eastAsia" w:ascii="仿宋_GB2312" w:hAnsi="仿宋_GB2312" w:eastAsia="仿宋_GB2312" w:cs="仿宋_GB2312"/>
          <w:i w:val="0"/>
          <w:caps w:val="0"/>
          <w:color w:val="000000"/>
          <w:spacing w:val="8"/>
          <w:sz w:val="31"/>
          <w:szCs w:val="31"/>
          <w:shd w:val="clear" w:fill="FFFFFF"/>
        </w:rPr>
        <w:t>“网上办”、”掌上办”小程序</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1"/>
          <w:szCs w:val="31"/>
          <w:shd w:val="clear" w:fill="FFFFFF"/>
        </w:rPr>
        <w:t>（一）</w:t>
      </w:r>
      <w:r>
        <w:rPr>
          <w:rFonts w:hint="eastAsia" w:ascii="仿宋_GB2312" w:hAnsi="仿宋_GB2312" w:eastAsia="仿宋_GB2312" w:cs="仿宋_GB2312"/>
          <w:i w:val="0"/>
          <w:caps w:val="0"/>
          <w:color w:val="000000"/>
          <w:spacing w:val="8"/>
          <w:sz w:val="31"/>
          <w:szCs w:val="31"/>
          <w:shd w:val="clear" w:fill="FFFFFF"/>
        </w:rPr>
        <w:t> </w:t>
      </w:r>
      <w:r>
        <w:rPr>
          <w:rStyle w:val="6"/>
          <w:rFonts w:hint="eastAsia" w:ascii="仿宋_GB2312" w:hAnsi="仿宋_GB2312" w:eastAsia="仿宋_GB2312" w:cs="仿宋_GB2312"/>
          <w:i w:val="0"/>
          <w:caps w:val="0"/>
          <w:color w:val="000000"/>
          <w:spacing w:val="8"/>
          <w:sz w:val="31"/>
          <w:szCs w:val="31"/>
          <w:shd w:val="clear" w:fill="FFFFFF"/>
        </w:rPr>
        <w:t>网上办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000000"/>
          <w:spacing w:val="8"/>
          <w:sz w:val="31"/>
          <w:szCs w:val="31"/>
          <w:shd w:val="clear" w:fill="FFFFFF"/>
        </w:rPr>
        <w:t>1、网办流程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000000"/>
          <w:spacing w:val="8"/>
          <w:sz w:val="31"/>
          <w:szCs w:val="31"/>
          <w:shd w:val="clear" w:fill="FFFFFF"/>
        </w:rPr>
        <w:t>参保人员或单位搜索“济宁市社会保险个人网上服务系统”，输入身份证号码，社保卡号，可进行网上相关业务的办理。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b w:val="0"/>
          <w:i w:val="0"/>
          <w:caps w:val="0"/>
          <w:color w:val="333333"/>
          <w:spacing w:val="8"/>
          <w:sz w:val="25"/>
          <w:szCs w:val="25"/>
          <w:shd w:val="clear" w:fill="FFFFFF"/>
        </w:rPr>
        <w:drawing>
          <wp:inline distT="0" distB="0" distL="114300" distR="114300">
            <wp:extent cx="5373370" cy="2964180"/>
            <wp:effectExtent l="0" t="0" r="17780" b="7620"/>
            <wp:docPr id="1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56"/>
                    <pic:cNvPicPr>
                      <a:picLocks noChangeAspect="1"/>
                    </pic:cNvPicPr>
                  </pic:nvPicPr>
                  <pic:blipFill>
                    <a:blip r:embed="rId4"/>
                    <a:stretch>
                      <a:fillRect/>
                    </a:stretch>
                  </pic:blipFill>
                  <pic:spPr>
                    <a:xfrm>
                      <a:off x="0" y="0"/>
                      <a:ext cx="5373370" cy="29641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000000"/>
          <w:spacing w:val="8"/>
          <w:sz w:val="31"/>
          <w:szCs w:val="31"/>
          <w:shd w:val="clear" w:fill="FFFFFF"/>
        </w:rPr>
        <w:t>2、网办服务事项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0"/>
          <w:szCs w:val="30"/>
          <w:shd w:val="clear" w:fill="FFFFFF"/>
        </w:rPr>
        <w:t>“网上办”服务事项</w:t>
      </w:r>
    </w:p>
    <w:tbl>
      <w:tblPr>
        <w:tblStyle w:val="4"/>
        <w:tblW w:w="8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7"/>
        <w:gridCol w:w="2739"/>
        <w:gridCol w:w="4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8" w:hRule="atLeast"/>
        </w:trPr>
        <w:tc>
          <w:tcPr>
            <w:tcW w:w="767"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ottom"/>
              <w:rPr>
                <w:rFonts w:hint="eastAsia" w:ascii="仿宋_GB2312" w:hAnsi="仿宋_GB2312" w:eastAsia="仿宋_GB2312" w:cs="仿宋_GB2312"/>
              </w:rPr>
            </w:pPr>
            <w:r>
              <w:rPr>
                <w:rStyle w:val="6"/>
                <w:rFonts w:hint="eastAsia" w:ascii="仿宋_GB2312" w:hAnsi="仿宋_GB2312" w:eastAsia="仿宋_GB2312" w:cs="仿宋_GB2312"/>
                <w:sz w:val="30"/>
                <w:szCs w:val="30"/>
              </w:rPr>
              <w:t>序号</w:t>
            </w:r>
          </w:p>
        </w:tc>
        <w:tc>
          <w:tcPr>
            <w:tcW w:w="2739" w:type="dxa"/>
            <w:tcBorders>
              <w:top w:val="single" w:color="auto" w:sz="6" w:space="0"/>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ottom"/>
              <w:rPr>
                <w:rFonts w:hint="eastAsia" w:ascii="仿宋_GB2312" w:hAnsi="仿宋_GB2312" w:eastAsia="仿宋_GB2312" w:cs="仿宋_GB2312"/>
              </w:rPr>
            </w:pPr>
            <w:r>
              <w:rPr>
                <w:rStyle w:val="6"/>
                <w:rFonts w:hint="eastAsia" w:ascii="仿宋_GB2312" w:hAnsi="仿宋_GB2312" w:eastAsia="仿宋_GB2312" w:cs="仿宋_GB2312"/>
                <w:sz w:val="30"/>
                <w:szCs w:val="30"/>
              </w:rPr>
              <w:t>分类</w:t>
            </w:r>
          </w:p>
        </w:tc>
        <w:tc>
          <w:tcPr>
            <w:tcW w:w="4713" w:type="dxa"/>
            <w:tcBorders>
              <w:top w:val="single" w:color="auto" w:sz="6" w:space="0"/>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ottom"/>
              <w:rPr>
                <w:rFonts w:hint="eastAsia" w:ascii="仿宋_GB2312" w:hAnsi="仿宋_GB2312" w:eastAsia="仿宋_GB2312" w:cs="仿宋_GB2312"/>
              </w:rPr>
            </w:pPr>
            <w:r>
              <w:rPr>
                <w:rStyle w:val="6"/>
                <w:rFonts w:hint="eastAsia" w:ascii="仿宋_GB2312" w:hAnsi="仿宋_GB2312" w:eastAsia="仿宋_GB2312" w:cs="仿宋_GB2312"/>
                <w:sz w:val="30"/>
                <w:szCs w:val="30"/>
              </w:rPr>
              <w:t>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职工基本医疗保险参保登记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单位变更（注销）登记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3</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医疗保险关系转出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4</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医疗保险关系转入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6</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单位参保缴费信息查询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7</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个人参保缴费信息（个人权益记录）查询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8</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长期异地就医备案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9</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转外就医备案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10</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异地急诊转住院联网备案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11</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生育津贴申领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12</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城乡居民基本医疗保险参保登记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14</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长期异地就医备案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15</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转外就医备案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16</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异地急诊转住院联网备案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18</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职工医疗保险单位参保增减员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19</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缴费基数申报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20</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灵活就业人员缴费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21</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医疗享受待遇查询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22</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生育享受待遇查询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23</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报销进度查询功能.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24</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个人基本信息查询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25</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医疗账户收入查询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26</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医疗缴费查询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27</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居民医疗缴费查询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28</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个人查询</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生育缴费查询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trPr>
        <w:tc>
          <w:tcPr>
            <w:tcW w:w="767"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29</w:t>
            </w:r>
          </w:p>
        </w:tc>
        <w:tc>
          <w:tcPr>
            <w:tcW w:w="2739"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71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医疗缴费明细查询</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1"/>
          <w:szCs w:val="31"/>
          <w:shd w:val="clear" w:fill="FFFFFF"/>
        </w:rPr>
        <w:t>（二）掌上办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1"/>
          <w:szCs w:val="31"/>
          <w:shd w:val="clear" w:fill="FFFFFF"/>
        </w:rPr>
        <w:t>1、掌办流程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000000"/>
          <w:spacing w:val="8"/>
          <w:sz w:val="31"/>
          <w:szCs w:val="31"/>
          <w:shd w:val="clear" w:fill="FFFFFF"/>
        </w:rPr>
        <w:t>进入支付宝APP搜索“济宁医保”，选择界面右下角“我的”进入“注册/登陆”界面，进行支付宝授权，登陆之后选择“医保电子凭证”，激活自己的“医保电子凭证”，返回主界面，可以进行各种“业务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1"/>
          <w:szCs w:val="31"/>
          <w:shd w:val="clear" w:fill="FFFFFF"/>
        </w:rPr>
        <w:t> 2、掌上办理事项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27"/>
          <w:szCs w:val="27"/>
          <w:shd w:val="clear" w:fill="FFFFFF"/>
        </w:rPr>
        <w:t>                </w:t>
      </w:r>
      <w:r>
        <w:rPr>
          <w:rStyle w:val="6"/>
          <w:rFonts w:hint="eastAsia" w:ascii="仿宋_GB2312" w:hAnsi="仿宋_GB2312" w:eastAsia="仿宋_GB2312" w:cs="仿宋_GB2312"/>
          <w:i w:val="0"/>
          <w:caps w:val="0"/>
          <w:color w:val="000000"/>
          <w:spacing w:val="8"/>
          <w:sz w:val="30"/>
          <w:szCs w:val="30"/>
          <w:shd w:val="clear" w:fill="FFFFFF"/>
        </w:rPr>
        <w:t>“掌上办”服务事项                        </w:t>
      </w:r>
    </w:p>
    <w:tbl>
      <w:tblPr>
        <w:tblStyle w:val="4"/>
        <w:tblW w:w="8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6"/>
        <w:gridCol w:w="2572"/>
        <w:gridCol w:w="4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1" w:hRule="atLeast"/>
        </w:trPr>
        <w:tc>
          <w:tcPr>
            <w:tcW w:w="696" w:type="dxa"/>
            <w:tcBorders>
              <w:top w:val="single" w:color="auto" w:sz="6" w:space="0"/>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bottom"/>
              <w:rPr>
                <w:rFonts w:hint="eastAsia" w:ascii="仿宋_GB2312" w:hAnsi="仿宋_GB2312" w:eastAsia="仿宋_GB2312" w:cs="仿宋_GB2312"/>
              </w:rPr>
            </w:pPr>
            <w:r>
              <w:rPr>
                <w:rStyle w:val="6"/>
                <w:rFonts w:hint="eastAsia" w:ascii="仿宋_GB2312" w:hAnsi="仿宋_GB2312" w:eastAsia="仿宋_GB2312" w:cs="仿宋_GB2312"/>
                <w:color w:val="000000"/>
                <w:sz w:val="30"/>
                <w:szCs w:val="30"/>
              </w:rPr>
              <w:t>序号</w:t>
            </w:r>
          </w:p>
        </w:tc>
        <w:tc>
          <w:tcPr>
            <w:tcW w:w="2572" w:type="dxa"/>
            <w:tcBorders>
              <w:top w:val="single" w:color="auto" w:sz="6" w:space="0"/>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900"/>
              <w:textAlignment w:val="bottom"/>
              <w:rPr>
                <w:rFonts w:hint="eastAsia" w:ascii="仿宋_GB2312" w:hAnsi="仿宋_GB2312" w:eastAsia="仿宋_GB2312" w:cs="仿宋_GB2312"/>
              </w:rPr>
            </w:pPr>
            <w:r>
              <w:rPr>
                <w:rStyle w:val="6"/>
                <w:rFonts w:hint="eastAsia" w:ascii="仿宋_GB2312" w:hAnsi="仿宋_GB2312" w:eastAsia="仿宋_GB2312" w:cs="仿宋_GB2312"/>
                <w:color w:val="000000"/>
                <w:sz w:val="30"/>
                <w:szCs w:val="30"/>
              </w:rPr>
              <w:t>分类</w:t>
            </w:r>
          </w:p>
        </w:tc>
        <w:tc>
          <w:tcPr>
            <w:tcW w:w="4931" w:type="dxa"/>
            <w:tcBorders>
              <w:top w:val="single" w:color="auto" w:sz="6" w:space="0"/>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textAlignment w:val="bottom"/>
              <w:rPr>
                <w:rFonts w:hint="eastAsia" w:ascii="仿宋_GB2312" w:hAnsi="仿宋_GB2312" w:eastAsia="仿宋_GB2312" w:cs="仿宋_GB2312"/>
              </w:rPr>
            </w:pPr>
            <w:r>
              <w:rPr>
                <w:rStyle w:val="6"/>
                <w:rFonts w:hint="eastAsia" w:ascii="仿宋_GB2312" w:hAnsi="仿宋_GB2312" w:eastAsia="仿宋_GB2312" w:cs="仿宋_GB2312"/>
                <w:color w:val="000000"/>
                <w:sz w:val="30"/>
                <w:szCs w:val="30"/>
              </w:rPr>
              <w:t>事 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医疗保险关系转出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2</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医疗保险关系转入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3</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医疗保险个人账户一次性支付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4</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长期异地就医备案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5</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转外就医备案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6</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异地急诊转住院联网备案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7</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生育津贴申领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8</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生育医疗费结算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9</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生育医疗费补助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10</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职工医疗保障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门诊慢性病资格确认、备案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11</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城乡居民基本医疗保险参保登记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12</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门诊慢性病资格确认、备案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13</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长期异地就医备案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14</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转外就医备案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15</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城乡居民医疗保障</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异地急诊转住院联网备案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696" w:type="dxa"/>
            <w:tcBorders>
              <w:top w:val="nil"/>
              <w:left w:val="single" w:color="auto" w:sz="6" w:space="0"/>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16</w:t>
            </w:r>
          </w:p>
        </w:tc>
        <w:tc>
          <w:tcPr>
            <w:tcW w:w="2572"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rPr>
            </w:pPr>
            <w:r>
              <w:rPr>
                <w:rFonts w:hint="eastAsia" w:ascii="仿宋_GB2312" w:hAnsi="仿宋_GB2312" w:eastAsia="仿宋_GB2312" w:cs="仿宋_GB2312"/>
                <w:color w:val="000000"/>
                <w:sz w:val="30"/>
                <w:szCs w:val="30"/>
              </w:rPr>
              <w:t>医药机构</w:t>
            </w:r>
          </w:p>
        </w:tc>
        <w:tc>
          <w:tcPr>
            <w:tcW w:w="4931" w:type="dxa"/>
            <w:tcBorders>
              <w:top w:val="nil"/>
              <w:left w:val="nil"/>
              <w:bottom w:val="single" w:color="auto" w:sz="6" w:space="0"/>
              <w:right w:val="single" w:color="auto" w:sz="6" w:space="0"/>
            </w:tcBorders>
            <w:shd w:val="clear" w:color="auto" w:fill="auto"/>
            <w:tcMar>
              <w:top w:w="15" w:type="dxa"/>
              <w:left w:w="15" w:type="dxa"/>
              <w:bottom w:w="15" w:type="dxa"/>
              <w:right w:w="1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textAlignment w:val="bottom"/>
              <w:rPr>
                <w:rFonts w:hint="eastAsia" w:ascii="仿宋_GB2312" w:hAnsi="仿宋_GB2312" w:eastAsia="仿宋_GB2312" w:cs="仿宋_GB2312"/>
              </w:rPr>
            </w:pPr>
            <w:r>
              <w:rPr>
                <w:rFonts w:hint="eastAsia" w:ascii="仿宋_GB2312" w:hAnsi="仿宋_GB2312" w:eastAsia="仿宋_GB2312" w:cs="仿宋_GB2312"/>
                <w:color w:val="000000"/>
                <w:sz w:val="30"/>
                <w:szCs w:val="30"/>
              </w:rPr>
              <w:t>新增协议定点医药机构</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0"/>
          <w:szCs w:val="3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r>
        <w:rPr>
          <w:rStyle w:val="6"/>
          <w:rFonts w:hint="eastAsia" w:ascii="仿宋_GB2312" w:hAnsi="仿宋_GB2312" w:eastAsia="仿宋_GB2312" w:cs="仿宋_GB2312"/>
          <w:i w:val="0"/>
          <w:caps w:val="0"/>
          <w:color w:val="000000"/>
          <w:spacing w:val="8"/>
          <w:sz w:val="30"/>
          <w:szCs w:val="30"/>
          <w:shd w:val="clear" w:fill="FFFFFF"/>
        </w:rPr>
        <w:t>             </w:t>
      </w:r>
      <w:r>
        <w:rPr>
          <w:rFonts w:hint="eastAsia" w:ascii="仿宋_GB2312" w:hAnsi="仿宋_GB2312" w:eastAsia="仿宋_GB2312" w:cs="仿宋_GB2312"/>
          <w:b w:val="0"/>
          <w:i w:val="0"/>
          <w:caps w:val="0"/>
          <w:color w:val="333333"/>
          <w:spacing w:val="30"/>
          <w:sz w:val="31"/>
          <w:szCs w:val="31"/>
          <w:shd w:val="clear" w:fill="FFFFFF"/>
        </w:rPr>
        <w:t>济宁市医疗保险事业中心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b w:val="0"/>
          <w:i w:val="0"/>
          <w:caps w:val="0"/>
          <w:color w:val="333333"/>
          <w:spacing w:val="30"/>
          <w:sz w:val="31"/>
          <w:szCs w:val="31"/>
          <w:shd w:val="clear" w:fill="FFFFFF"/>
        </w:rPr>
        <w:t>               2020年1月28日</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6BF21"/>
    <w:multiLevelType w:val="singleLevel"/>
    <w:tmpl w:val="CDE6BF2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8636B"/>
    <w:rsid w:val="4978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2020-04-01T05:53:00Z</dcterms:created>
  <dc:creator>天然呆</dc:creator>
  <cp:lastModifiedBy>天然呆</cp:lastModifiedBy>
  <dcterms:modified xsi:type="dcterms:W3CDTF">2020-04-01T05:56:46Z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