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28"/>
          <w:szCs w:val="28"/>
          <w:lang w:eastAsia="zh-CN"/>
        </w:rPr>
      </w:pPr>
    </w:p>
    <w:p>
      <w:pPr>
        <w:jc w:val="center"/>
        <w:rPr>
          <w:rFonts w:hint="eastAsia" w:ascii="方正小标宋简体" w:hAnsi="方正小标宋简体" w:eastAsia="方正小标宋简体" w:cs="方正小标宋简体"/>
          <w:b/>
          <w:bCs/>
          <w:sz w:val="28"/>
          <w:szCs w:val="28"/>
          <w:lang w:eastAsia="zh-CN"/>
        </w:rPr>
      </w:pPr>
    </w:p>
    <w:p>
      <w:pPr>
        <w:jc w:val="center"/>
        <w:rPr>
          <w:rFonts w:hint="eastAsia" w:ascii="方正小标宋简体" w:hAnsi="方正小标宋简体" w:eastAsia="方正小标宋简体" w:cs="方正小标宋简体"/>
          <w:b/>
          <w:bCs/>
          <w:sz w:val="28"/>
          <w:szCs w:val="28"/>
          <w:lang w:eastAsia="zh-CN"/>
        </w:rPr>
      </w:pPr>
    </w:p>
    <w:p>
      <w:pPr>
        <w:jc w:val="center"/>
        <w:rPr>
          <w:rFonts w:hint="eastAsia" w:ascii="方正小标宋简体" w:hAnsi="方正小标宋简体" w:eastAsia="方正小标宋简体" w:cs="方正小标宋简体"/>
          <w:b/>
          <w:bCs/>
          <w:sz w:val="28"/>
          <w:szCs w:val="28"/>
          <w:lang w:eastAsia="zh-CN"/>
        </w:rPr>
      </w:pPr>
    </w:p>
    <w:p>
      <w:pPr>
        <w:jc w:val="center"/>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eastAsia="zh-CN"/>
        </w:rPr>
        <w:t>济医保</w:t>
      </w:r>
      <w:r>
        <w:rPr>
          <w:rFonts w:hint="default" w:ascii="Times New Roman" w:hAnsi="Times New Roman" w:eastAsia="方正仿宋简体" w:cs="Times New Roman"/>
          <w:b/>
          <w:bCs/>
          <w:sz w:val="32"/>
          <w:szCs w:val="32"/>
          <w:lang w:eastAsia="zh-CN"/>
        </w:rPr>
        <w:t>发〔</w:t>
      </w:r>
      <w:r>
        <w:rPr>
          <w:rFonts w:hint="default" w:ascii="Times New Roman" w:hAnsi="Times New Roman" w:eastAsia="方正仿宋简体" w:cs="Times New Roman"/>
          <w:b/>
          <w:bCs/>
          <w:sz w:val="32"/>
          <w:szCs w:val="32"/>
          <w:lang w:val="en-US" w:eastAsia="zh-CN"/>
        </w:rPr>
        <w:t>2020</w:t>
      </w:r>
      <w:r>
        <w:rPr>
          <w:rFonts w:hint="default"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17号</w:t>
      </w:r>
    </w:p>
    <w:p>
      <w:pPr>
        <w:jc w:val="center"/>
        <w:rPr>
          <w:rFonts w:hint="eastAsia" w:ascii="方正仿宋简体" w:hAnsi="方正仿宋简体" w:eastAsia="方正仿宋简体" w:cs="方正仿宋简体"/>
          <w:b/>
          <w:bCs/>
          <w:sz w:val="30"/>
          <w:szCs w:val="30"/>
          <w:lang w:eastAsia="zh-CN"/>
        </w:rPr>
      </w:pPr>
    </w:p>
    <w:p>
      <w:pPr>
        <w:jc w:val="center"/>
        <w:rPr>
          <w:rFonts w:hint="eastAsia" w:ascii="方正小标宋简体" w:hAnsi="方正小标宋简体" w:eastAsia="方正小标宋简体" w:cs="方正小标宋简体"/>
          <w:b/>
          <w:bCs/>
          <w:sz w:val="44"/>
          <w:szCs w:val="44"/>
          <w:lang w:eastAsia="zh-CN"/>
        </w:rPr>
      </w:pPr>
      <w:bookmarkStart w:id="0" w:name="_GoBack"/>
      <w:r>
        <w:rPr>
          <w:rFonts w:hint="eastAsia" w:ascii="方正小标宋简体" w:hAnsi="方正小标宋简体" w:eastAsia="方正小标宋简体" w:cs="方正小标宋简体"/>
          <w:b/>
          <w:bCs/>
          <w:sz w:val="44"/>
          <w:szCs w:val="44"/>
          <w:lang w:eastAsia="zh-CN"/>
        </w:rPr>
        <w:t>关于将生长激素缺乏症纳入居民医疗保险门诊慢性病范围的通知</w:t>
      </w:r>
    </w:p>
    <w:bookmarkEnd w:id="0"/>
    <w:p>
      <w:pPr>
        <w:jc w:val="center"/>
        <w:rPr>
          <w:rFonts w:hint="eastAsia" w:ascii="方正小标宋简体" w:hAnsi="方正小标宋简体" w:eastAsia="方正小标宋简体" w:cs="方正小标宋简体"/>
          <w:b/>
          <w:bCs/>
          <w:sz w:val="44"/>
          <w:szCs w:val="44"/>
          <w:lang w:eastAsia="zh-CN"/>
        </w:rPr>
      </w:pPr>
    </w:p>
    <w:p>
      <w:pPr>
        <w:rPr>
          <w:rFonts w:hint="default" w:ascii="Times New Roman" w:hAnsi="Times New Roman" w:eastAsia="方正仿宋简体" w:cs="Times New Roman"/>
          <w:b/>
          <w:bCs/>
          <w:snapToGrid w:val="0"/>
          <w:kern w:val="0"/>
          <w:sz w:val="32"/>
          <w:szCs w:val="32"/>
          <w:lang w:val="en-US" w:eastAsia="zh-CN"/>
        </w:rPr>
      </w:pPr>
      <w:r>
        <w:rPr>
          <w:rFonts w:hint="default" w:ascii="Times New Roman" w:hAnsi="Times New Roman" w:eastAsia="方正仿宋简体" w:cs="Times New Roman"/>
          <w:b/>
          <w:bCs/>
          <w:snapToGrid w:val="0"/>
          <w:kern w:val="0"/>
          <w:sz w:val="32"/>
          <w:szCs w:val="32"/>
          <w:lang w:val="en-US" w:eastAsia="zh-CN"/>
        </w:rPr>
        <w:t>各县（市、区）医疗保障局，济宁高新区人力资源服务中心、太白湖新区社会保障事业服务中心、济宁经济技术开发区人力资源和社会保障服务中心</w:t>
      </w:r>
      <w:r>
        <w:rPr>
          <w:rFonts w:hint="eastAsia" w:ascii="Times New Roman" w:hAnsi="Times New Roman" w:eastAsia="方正仿宋简体" w:cs="Times New Roman"/>
          <w:b/>
          <w:bCs/>
          <w:snapToGrid w:val="0"/>
          <w:kern w:val="0"/>
          <w:sz w:val="32"/>
          <w:szCs w:val="32"/>
          <w:lang w:val="en-US" w:eastAsia="zh-CN"/>
        </w:rPr>
        <w:t>，</w:t>
      </w:r>
      <w:r>
        <w:rPr>
          <w:rFonts w:hint="eastAsia" w:eastAsia="方正仿宋简体" w:cs="Times New Roman"/>
          <w:b/>
          <w:bCs/>
          <w:snapToGrid w:val="0"/>
          <w:kern w:val="0"/>
          <w:sz w:val="32"/>
          <w:szCs w:val="32"/>
          <w:lang w:val="en-US" w:eastAsia="zh-CN"/>
        </w:rPr>
        <w:t>兖矿集团员工保障服务中心，市医保局各科室、直属单位，市直</w:t>
      </w:r>
      <w:r>
        <w:rPr>
          <w:rFonts w:hint="eastAsia" w:ascii="Times New Roman" w:hAnsi="Times New Roman" w:eastAsia="方正仿宋简体" w:cs="Times New Roman"/>
          <w:b/>
          <w:bCs/>
          <w:snapToGrid w:val="0"/>
          <w:kern w:val="0"/>
          <w:sz w:val="32"/>
          <w:szCs w:val="32"/>
          <w:lang w:val="en-US" w:eastAsia="zh-CN"/>
        </w:rPr>
        <w:t>各有关</w:t>
      </w:r>
      <w:r>
        <w:rPr>
          <w:rFonts w:hint="eastAsia" w:eastAsia="方正仿宋简体" w:cs="Times New Roman"/>
          <w:b/>
          <w:bCs/>
          <w:snapToGrid w:val="0"/>
          <w:kern w:val="0"/>
          <w:sz w:val="32"/>
          <w:szCs w:val="32"/>
          <w:lang w:val="en-US" w:eastAsia="zh-CN"/>
        </w:rPr>
        <w:t>医保协议管理</w:t>
      </w:r>
      <w:r>
        <w:rPr>
          <w:rFonts w:hint="eastAsia" w:ascii="Times New Roman" w:hAnsi="Times New Roman" w:eastAsia="方正仿宋简体" w:cs="Times New Roman"/>
          <w:b/>
          <w:bCs/>
          <w:snapToGrid w:val="0"/>
          <w:kern w:val="0"/>
          <w:sz w:val="32"/>
          <w:szCs w:val="32"/>
          <w:lang w:val="en-US" w:eastAsia="zh-CN"/>
        </w:rPr>
        <w:t>定点医</w:t>
      </w:r>
      <w:r>
        <w:rPr>
          <w:rFonts w:hint="eastAsia" w:eastAsia="方正仿宋简体" w:cs="Times New Roman"/>
          <w:b/>
          <w:bCs/>
          <w:snapToGrid w:val="0"/>
          <w:kern w:val="0"/>
          <w:sz w:val="32"/>
          <w:szCs w:val="32"/>
          <w:lang w:val="en-US" w:eastAsia="zh-CN"/>
        </w:rPr>
        <w:t>疗</w:t>
      </w:r>
      <w:r>
        <w:rPr>
          <w:rFonts w:hint="eastAsia" w:ascii="Times New Roman" w:hAnsi="Times New Roman" w:eastAsia="方正仿宋简体" w:cs="Times New Roman"/>
          <w:b/>
          <w:bCs/>
          <w:snapToGrid w:val="0"/>
          <w:kern w:val="0"/>
          <w:sz w:val="32"/>
          <w:szCs w:val="32"/>
          <w:lang w:val="en-US" w:eastAsia="zh-CN"/>
        </w:rPr>
        <w:t>机构</w:t>
      </w:r>
      <w:r>
        <w:rPr>
          <w:rFonts w:hint="default" w:ascii="Times New Roman" w:hAnsi="Times New Roman" w:eastAsia="方正仿宋简体" w:cs="Times New Roman"/>
          <w:b/>
          <w:bCs/>
          <w:snapToGrid w:val="0"/>
          <w:kern w:val="0"/>
          <w:sz w:val="32"/>
          <w:szCs w:val="32"/>
          <w:lang w:val="en-US" w:eastAsia="zh-CN"/>
        </w:rPr>
        <w:t>：</w:t>
      </w:r>
    </w:p>
    <w:p>
      <w:pPr>
        <w:ind w:firstLine="640"/>
        <w:rPr>
          <w:rFonts w:hint="eastAsia"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为进一步提高门诊慢性病保障水平，</w:t>
      </w:r>
      <w:r>
        <w:rPr>
          <w:rFonts w:hint="eastAsia" w:eastAsia="方正仿宋简体" w:cs="Times New Roman"/>
          <w:b/>
          <w:bCs/>
          <w:snapToGrid w:val="0"/>
          <w:kern w:val="0"/>
          <w:sz w:val="32"/>
          <w:szCs w:val="32"/>
          <w:lang w:val="en-US" w:eastAsia="zh-CN"/>
        </w:rPr>
        <w:t>切实</w:t>
      </w:r>
      <w:r>
        <w:rPr>
          <w:rFonts w:hint="eastAsia" w:ascii="Times New Roman" w:hAnsi="Times New Roman" w:eastAsia="方正仿宋简体" w:cs="Times New Roman"/>
          <w:b/>
          <w:bCs/>
          <w:snapToGrid w:val="0"/>
          <w:kern w:val="0"/>
          <w:sz w:val="32"/>
          <w:szCs w:val="32"/>
          <w:lang w:val="en-US" w:eastAsia="zh-CN"/>
        </w:rPr>
        <w:t>减轻参保人员医疗负担，经研究，确定将生长激素缺乏症纳入我市</w:t>
      </w:r>
      <w:r>
        <w:rPr>
          <w:rFonts w:hint="eastAsia" w:eastAsia="方正仿宋简体" w:cs="Times New Roman"/>
          <w:b/>
          <w:bCs/>
          <w:snapToGrid w:val="0"/>
          <w:kern w:val="0"/>
          <w:sz w:val="32"/>
          <w:szCs w:val="32"/>
          <w:lang w:val="en-US" w:eastAsia="zh-CN"/>
        </w:rPr>
        <w:t>居民</w:t>
      </w:r>
      <w:r>
        <w:rPr>
          <w:rFonts w:hint="eastAsia" w:ascii="Times New Roman" w:hAnsi="Times New Roman" w:eastAsia="方正仿宋简体" w:cs="Times New Roman"/>
          <w:b/>
          <w:bCs/>
          <w:snapToGrid w:val="0"/>
          <w:kern w:val="0"/>
          <w:sz w:val="32"/>
          <w:szCs w:val="32"/>
          <w:lang w:val="en-US" w:eastAsia="zh-CN"/>
        </w:rPr>
        <w:t>医疗保险门诊慢性病范围，现将有关事项通知如下：</w:t>
      </w:r>
    </w:p>
    <w:p>
      <w:pPr>
        <w:numPr>
          <w:ilvl w:val="0"/>
          <w:numId w:val="1"/>
        </w:numPr>
        <w:ind w:firstLine="640"/>
        <w:rPr>
          <w:rFonts w:hint="eastAsia"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将生长激素缺乏症纳入我市居民医疗保险门诊慢性病范围乙类病种管理</w:t>
      </w:r>
      <w:r>
        <w:rPr>
          <w:rFonts w:hint="eastAsia" w:eastAsia="方正仿宋简体" w:cs="Times New Roman"/>
          <w:b/>
          <w:bCs/>
          <w:snapToGrid w:val="0"/>
          <w:kern w:val="0"/>
          <w:sz w:val="32"/>
          <w:szCs w:val="32"/>
          <w:lang w:val="en-US" w:eastAsia="zh-CN"/>
        </w:rPr>
        <w:t>。</w:t>
      </w:r>
    </w:p>
    <w:p>
      <w:pPr>
        <w:numPr>
          <w:ilvl w:val="0"/>
          <w:numId w:val="1"/>
        </w:numPr>
        <w:ind w:firstLine="640"/>
        <w:rPr>
          <w:rFonts w:hint="default"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鉴定为生长激素缺乏症的参保人员</w:t>
      </w:r>
      <w:r>
        <w:rPr>
          <w:rFonts w:hint="eastAsia" w:eastAsia="方正仿宋简体" w:cs="Times New Roman"/>
          <w:b/>
          <w:bCs/>
          <w:snapToGrid w:val="0"/>
          <w:kern w:val="0"/>
          <w:sz w:val="32"/>
          <w:szCs w:val="32"/>
          <w:lang w:val="en-US" w:eastAsia="zh-CN"/>
        </w:rPr>
        <w:t>，</w:t>
      </w:r>
      <w:r>
        <w:rPr>
          <w:rFonts w:hint="eastAsia" w:ascii="Times New Roman" w:hAnsi="Times New Roman" w:eastAsia="方正仿宋简体" w:cs="Times New Roman"/>
          <w:b/>
          <w:bCs/>
          <w:snapToGrid w:val="0"/>
          <w:kern w:val="0"/>
          <w:sz w:val="32"/>
          <w:szCs w:val="32"/>
          <w:lang w:val="en-US" w:eastAsia="zh-CN"/>
        </w:rPr>
        <w:t>发生与治疗疾病相关且符合基本医疗保险</w:t>
      </w:r>
      <w:r>
        <w:rPr>
          <w:rFonts w:hint="eastAsia" w:eastAsia="方正仿宋简体" w:cs="Times New Roman"/>
          <w:b/>
          <w:bCs/>
          <w:snapToGrid w:val="0"/>
          <w:kern w:val="0"/>
          <w:sz w:val="32"/>
          <w:szCs w:val="32"/>
          <w:lang w:val="en-US" w:eastAsia="zh-CN"/>
        </w:rPr>
        <w:t>政策</w:t>
      </w:r>
      <w:r>
        <w:rPr>
          <w:rFonts w:hint="eastAsia" w:ascii="Times New Roman" w:hAnsi="Times New Roman" w:eastAsia="方正仿宋简体" w:cs="Times New Roman"/>
          <w:b/>
          <w:bCs/>
          <w:snapToGrid w:val="0"/>
          <w:kern w:val="0"/>
          <w:sz w:val="32"/>
          <w:szCs w:val="32"/>
          <w:lang w:val="en-US" w:eastAsia="zh-CN"/>
        </w:rPr>
        <w:t>规定的医疗费用，按照我市居民门诊慢性病医保相关政策进行报销。</w:t>
      </w:r>
    </w:p>
    <w:p>
      <w:pPr>
        <w:numPr>
          <w:ilvl w:val="0"/>
          <w:numId w:val="1"/>
        </w:numPr>
        <w:ind w:firstLine="640"/>
        <w:rPr>
          <w:rFonts w:hint="default" w:ascii="Times New Roman" w:hAnsi="Times New Roman"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严格执行</w:t>
      </w:r>
      <w:r>
        <w:rPr>
          <w:rFonts w:hint="eastAsia" w:ascii="Times New Roman" w:hAnsi="Times New Roman" w:eastAsia="方正仿宋简体" w:cs="Times New Roman"/>
          <w:b/>
          <w:bCs/>
          <w:snapToGrid w:val="0"/>
          <w:kern w:val="0"/>
          <w:sz w:val="32"/>
          <w:szCs w:val="32"/>
          <w:lang w:val="en-US" w:eastAsia="zh-CN"/>
        </w:rPr>
        <w:t>生长激素缺乏症</w:t>
      </w:r>
      <w:r>
        <w:rPr>
          <w:rFonts w:hint="eastAsia" w:eastAsia="方正仿宋简体" w:cs="Times New Roman"/>
          <w:b/>
          <w:bCs/>
          <w:snapToGrid w:val="0"/>
          <w:kern w:val="0"/>
          <w:sz w:val="32"/>
          <w:szCs w:val="32"/>
          <w:lang w:val="en-US" w:eastAsia="zh-CN"/>
        </w:rPr>
        <w:t>鉴定标准（见附件），规范鉴定程序，缩短鉴定时间，及时将符合条件的参保居民纳入医保报销范围，并在医保信息系统进行标识，切实保障参保人员基本医疗需求。</w:t>
      </w:r>
    </w:p>
    <w:p>
      <w:pPr>
        <w:numPr>
          <w:ilvl w:val="0"/>
          <w:numId w:val="1"/>
        </w:numPr>
        <w:ind w:firstLine="640"/>
        <w:rPr>
          <w:rFonts w:hint="default"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本通知自2020年</w:t>
      </w:r>
      <w:r>
        <w:rPr>
          <w:rFonts w:hint="eastAsia" w:eastAsia="方正仿宋简体" w:cs="Times New Roman"/>
          <w:b/>
          <w:bCs/>
          <w:snapToGrid w:val="0"/>
          <w:kern w:val="0"/>
          <w:sz w:val="32"/>
          <w:szCs w:val="32"/>
          <w:lang w:val="en-US" w:eastAsia="zh-CN"/>
        </w:rPr>
        <w:t>7</w:t>
      </w:r>
      <w:r>
        <w:rPr>
          <w:rFonts w:hint="eastAsia" w:ascii="Times New Roman" w:hAnsi="Times New Roman" w:eastAsia="方正仿宋简体" w:cs="Times New Roman"/>
          <w:b/>
          <w:bCs/>
          <w:snapToGrid w:val="0"/>
          <w:kern w:val="0"/>
          <w:sz w:val="32"/>
          <w:szCs w:val="32"/>
          <w:lang w:val="en-US" w:eastAsia="zh-CN"/>
        </w:rPr>
        <w:t>月1日起实施。</w:t>
      </w:r>
    </w:p>
    <w:p>
      <w:pPr>
        <w:numPr>
          <w:ilvl w:val="0"/>
          <w:numId w:val="0"/>
        </w:numPr>
        <w:rPr>
          <w:rFonts w:hint="default" w:ascii="Times New Roman" w:hAnsi="Times New Roman" w:eastAsia="方正仿宋简体" w:cs="Times New Roman"/>
          <w:b/>
          <w:bCs/>
          <w:snapToGrid w:val="0"/>
          <w:kern w:val="0"/>
          <w:sz w:val="32"/>
          <w:szCs w:val="32"/>
          <w:lang w:val="en-US" w:eastAsia="zh-CN"/>
        </w:rPr>
      </w:pPr>
    </w:p>
    <w:p>
      <w:pPr>
        <w:numPr>
          <w:ilvl w:val="0"/>
          <w:numId w:val="0"/>
        </w:numPr>
        <w:ind w:firstLine="643" w:firstLineChars="200"/>
        <w:rPr>
          <w:rFonts w:hint="eastAsia"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附件：生长激素缺乏症鉴定标准</w:t>
      </w:r>
    </w:p>
    <w:p>
      <w:pPr>
        <w:numPr>
          <w:ilvl w:val="0"/>
          <w:numId w:val="0"/>
        </w:numPr>
        <w:ind w:firstLine="643" w:firstLineChars="200"/>
        <w:rPr>
          <w:rFonts w:hint="default" w:eastAsia="方正仿宋简体" w:cs="Times New Roman"/>
          <w:b/>
          <w:bCs/>
          <w:snapToGrid w:val="0"/>
          <w:kern w:val="0"/>
          <w:sz w:val="32"/>
          <w:szCs w:val="32"/>
          <w:lang w:val="en-US" w:eastAsia="zh-CN"/>
        </w:rPr>
      </w:pPr>
    </w:p>
    <w:p>
      <w:pPr>
        <w:numPr>
          <w:ilvl w:val="0"/>
          <w:numId w:val="0"/>
        </w:numPr>
        <w:rPr>
          <w:rFonts w:hint="eastAsia" w:ascii="Times New Roman" w:hAnsi="Times New Roman" w:eastAsia="方正仿宋简体" w:cs="Times New Roman"/>
          <w:b/>
          <w:bCs/>
          <w:snapToGrid w:val="0"/>
          <w:kern w:val="0"/>
          <w:sz w:val="32"/>
          <w:szCs w:val="32"/>
          <w:lang w:val="en-US" w:eastAsia="zh-CN"/>
        </w:rPr>
      </w:pPr>
    </w:p>
    <w:p>
      <w:pPr>
        <w:numPr>
          <w:ilvl w:val="0"/>
          <w:numId w:val="0"/>
        </w:numPr>
        <w:rPr>
          <w:rFonts w:hint="default" w:ascii="Times New Roman" w:hAnsi="Times New Roman"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 xml:space="preserve">                               济宁市医疗保障局</w:t>
      </w:r>
    </w:p>
    <w:p>
      <w:pPr>
        <w:numPr>
          <w:ilvl w:val="0"/>
          <w:numId w:val="0"/>
        </w:numPr>
        <w:rPr>
          <w:rFonts w:hint="eastAsia"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 xml:space="preserve">                                2020年</w:t>
      </w:r>
      <w:r>
        <w:rPr>
          <w:rFonts w:hint="eastAsia" w:eastAsia="方正仿宋简体" w:cs="Times New Roman"/>
          <w:b/>
          <w:bCs/>
          <w:snapToGrid w:val="0"/>
          <w:kern w:val="0"/>
          <w:sz w:val="32"/>
          <w:szCs w:val="32"/>
          <w:lang w:val="en-US" w:eastAsia="zh-CN"/>
        </w:rPr>
        <w:t>6</w:t>
      </w:r>
      <w:r>
        <w:rPr>
          <w:rFonts w:hint="eastAsia" w:ascii="Times New Roman" w:hAnsi="Times New Roman" w:eastAsia="方正仿宋简体" w:cs="Times New Roman"/>
          <w:b/>
          <w:bCs/>
          <w:snapToGrid w:val="0"/>
          <w:kern w:val="0"/>
          <w:sz w:val="32"/>
          <w:szCs w:val="32"/>
          <w:lang w:val="en-US" w:eastAsia="zh-CN"/>
        </w:rPr>
        <w:t>月</w:t>
      </w:r>
      <w:r>
        <w:rPr>
          <w:rFonts w:hint="eastAsia" w:eastAsia="方正仿宋简体" w:cs="Times New Roman"/>
          <w:b/>
          <w:bCs/>
          <w:snapToGrid w:val="0"/>
          <w:kern w:val="0"/>
          <w:sz w:val="32"/>
          <w:szCs w:val="32"/>
          <w:lang w:val="en-US" w:eastAsia="zh-CN"/>
        </w:rPr>
        <w:t>29</w:t>
      </w:r>
      <w:r>
        <w:rPr>
          <w:rFonts w:hint="eastAsia" w:ascii="Times New Roman" w:hAnsi="Times New Roman" w:eastAsia="方正仿宋简体" w:cs="Times New Roman"/>
          <w:b/>
          <w:bCs/>
          <w:snapToGrid w:val="0"/>
          <w:kern w:val="0"/>
          <w:sz w:val="32"/>
          <w:szCs w:val="32"/>
          <w:lang w:val="en-US" w:eastAsia="zh-CN"/>
        </w:rPr>
        <w:t>日</w:t>
      </w:r>
    </w:p>
    <w:p>
      <w:pPr>
        <w:jc w:val="both"/>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 xml:space="preserve">    </w:t>
      </w:r>
      <w:r>
        <w:rPr>
          <w:rFonts w:hint="eastAsia" w:ascii="方正仿宋简体" w:hAnsi="方正仿宋简体" w:eastAsia="方正仿宋简体" w:cs="方正仿宋简体"/>
          <w:b/>
          <w:bCs/>
          <w:sz w:val="32"/>
          <w:szCs w:val="32"/>
          <w:lang w:val="en-US" w:eastAsia="zh-CN"/>
        </w:rPr>
        <w:t>（此件主动公开）</w:t>
      </w:r>
    </w:p>
    <w:p>
      <w:pPr>
        <w:jc w:val="both"/>
        <w:rPr>
          <w:rFonts w:hint="eastAsia" w:ascii="宋体" w:hAnsi="宋体" w:eastAsia="宋体" w:cs="宋体"/>
          <w:b/>
          <w:bCs/>
          <w:sz w:val="28"/>
          <w:szCs w:val="28"/>
          <w:lang w:eastAsia="zh-CN"/>
        </w:rPr>
      </w:pPr>
    </w:p>
    <w:p>
      <w:pPr>
        <w:jc w:val="both"/>
        <w:rPr>
          <w:rFonts w:hint="eastAsia" w:ascii="宋体" w:hAnsi="宋体" w:eastAsia="宋体" w:cs="宋体"/>
          <w:b/>
          <w:bCs/>
          <w:sz w:val="28"/>
          <w:szCs w:val="28"/>
          <w:lang w:eastAsia="zh-CN"/>
        </w:rPr>
      </w:pPr>
    </w:p>
    <w:p>
      <w:pPr>
        <w:jc w:val="both"/>
        <w:rPr>
          <w:rFonts w:hint="eastAsia" w:ascii="宋体" w:hAnsi="宋体" w:eastAsia="宋体" w:cs="宋体"/>
          <w:b/>
          <w:bCs/>
          <w:sz w:val="28"/>
          <w:szCs w:val="28"/>
          <w:lang w:eastAsia="zh-CN"/>
        </w:rPr>
      </w:pPr>
    </w:p>
    <w:p>
      <w:pPr>
        <w:jc w:val="both"/>
        <w:rPr>
          <w:rFonts w:hint="eastAsia" w:ascii="宋体" w:hAnsi="宋体" w:eastAsia="宋体" w:cs="宋体"/>
          <w:b/>
          <w:bCs/>
          <w:sz w:val="28"/>
          <w:szCs w:val="28"/>
          <w:lang w:eastAsia="zh-CN"/>
        </w:rPr>
      </w:pPr>
    </w:p>
    <w:p>
      <w:pPr>
        <w:jc w:val="both"/>
        <w:rPr>
          <w:rFonts w:hint="eastAsia" w:ascii="宋体" w:hAnsi="宋体" w:eastAsia="宋体" w:cs="宋体"/>
          <w:b/>
          <w:bCs/>
          <w:sz w:val="28"/>
          <w:szCs w:val="28"/>
          <w:lang w:eastAsia="zh-CN"/>
        </w:rPr>
      </w:pPr>
    </w:p>
    <w:p>
      <w:pPr>
        <w:jc w:val="both"/>
        <w:rPr>
          <w:rFonts w:hint="eastAsia" w:ascii="宋体" w:hAnsi="宋体" w:eastAsia="宋体" w:cs="宋体"/>
          <w:b/>
          <w:bCs/>
          <w:sz w:val="28"/>
          <w:szCs w:val="28"/>
          <w:lang w:eastAsia="zh-CN"/>
        </w:rPr>
      </w:pPr>
    </w:p>
    <w:p>
      <w:pPr>
        <w:jc w:val="both"/>
        <w:rPr>
          <w:rFonts w:hint="eastAsia" w:ascii="宋体" w:hAnsi="宋体" w:eastAsia="宋体" w:cs="宋体"/>
          <w:b/>
          <w:bCs/>
          <w:sz w:val="28"/>
          <w:szCs w:val="28"/>
          <w:lang w:eastAsia="zh-CN"/>
        </w:rPr>
      </w:pPr>
    </w:p>
    <w:p>
      <w:pPr>
        <w:jc w:val="both"/>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eastAsia="zh-CN"/>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75" w:afterAutospacing="0"/>
        <w:ind w:left="0" w:right="0" w:firstLine="0"/>
        <w:jc w:val="center"/>
        <w:rPr>
          <w:rFonts w:hint="eastAsia" w:ascii="方正小标宋简体" w:hAnsi="方正小标宋简体" w:eastAsia="方正小标宋简体" w:cs="方正小标宋简体"/>
          <w:b/>
          <w:bCs/>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bCs/>
          <w:i w:val="0"/>
          <w:caps w:val="0"/>
          <w:color w:val="333333"/>
          <w:spacing w:val="0"/>
          <w:kern w:val="0"/>
          <w:sz w:val="44"/>
          <w:szCs w:val="44"/>
          <w:shd w:val="clear" w:fill="FFFFFF"/>
          <w:lang w:val="en-US" w:eastAsia="zh-CN" w:bidi="ar"/>
        </w:rPr>
        <w:t>生长激素缺乏症鉴定标准</w:t>
      </w:r>
    </w:p>
    <w:p>
      <w:pPr>
        <w:spacing w:line="360" w:lineRule="auto"/>
        <w:ind w:firstLine="643" w:firstLineChars="200"/>
        <w:rPr>
          <w:rFonts w:hint="default" w:ascii="Times New Roman" w:hAnsi="Times New Roman" w:eastAsia="方正仿宋简体" w:cs="Times New Roman"/>
          <w:b/>
          <w:bCs/>
          <w:sz w:val="32"/>
          <w:szCs w:val="32"/>
        </w:rPr>
      </w:pPr>
    </w:p>
    <w:p>
      <w:pPr>
        <w:spacing w:line="360" w:lineRule="auto"/>
        <w:ind w:firstLine="643" w:firstLineChars="200"/>
        <w:rPr>
          <w:rFonts w:hint="default" w:ascii="Times New Roman" w:hAnsi="Times New Roman" w:eastAsia="方正仿宋简体" w:cs="Times New Roman"/>
          <w:b/>
          <w:bCs/>
          <w:i/>
          <w:iCs/>
          <w:sz w:val="32"/>
          <w:szCs w:val="32"/>
        </w:rPr>
      </w:pPr>
      <w:r>
        <w:rPr>
          <w:rFonts w:hint="default" w:ascii="Times New Roman" w:hAnsi="Times New Roman" w:eastAsia="方正仿宋简体" w:cs="Times New Roman"/>
          <w:b/>
          <w:bCs/>
          <w:sz w:val="32"/>
          <w:szCs w:val="32"/>
        </w:rPr>
        <w:t>1、身高低于同年龄同性别同种族第3百分位或-2SD以下的儿童青少年（≤18岁）。</w:t>
      </w:r>
    </w:p>
    <w:p>
      <w:pPr>
        <w:spacing w:line="360" w:lineRule="auto"/>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2、骨龄低于实际年龄2岁以上。</w:t>
      </w:r>
    </w:p>
    <w:p>
      <w:pPr>
        <w:spacing w:line="360" w:lineRule="auto"/>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3、两种药物生长激素激发试验GH峰值均＜10ng/ml。</w:t>
      </w:r>
    </w:p>
    <w:p>
      <w:pPr>
        <w:spacing w:line="360" w:lineRule="auto"/>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4、垂体MRI无明</w:t>
      </w:r>
      <w:r>
        <w:rPr>
          <w:rFonts w:hint="eastAsia" w:eastAsia="方正仿宋简体" w:cs="Times New Roman"/>
          <w:b/>
          <w:bCs/>
          <w:sz w:val="32"/>
          <w:szCs w:val="32"/>
          <w:lang w:eastAsia="zh-CN"/>
        </w:rPr>
        <w:t>显</w:t>
      </w:r>
      <w:r>
        <w:rPr>
          <w:rFonts w:hint="default" w:ascii="Times New Roman" w:hAnsi="Times New Roman" w:eastAsia="方正仿宋简体" w:cs="Times New Roman"/>
          <w:b/>
          <w:bCs/>
          <w:sz w:val="32"/>
          <w:szCs w:val="32"/>
        </w:rPr>
        <w:t>异常。</w:t>
      </w:r>
    </w:p>
    <w:p>
      <w:pPr>
        <w:spacing w:line="360" w:lineRule="auto"/>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5、智力正常，排除其他影响生长的疾病，如甲状腺功能减退症、慢性肝肾疾病、骨代谢疾病等。</w:t>
      </w:r>
    </w:p>
    <w:p>
      <w:pPr>
        <w:spacing w:line="360" w:lineRule="auto"/>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6、有二级及以上医疗机构出具的诊断及其就诊记录。</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7、有需要继续临床治疗方案或依据。</w:t>
      </w:r>
    </w:p>
    <w:p>
      <w:pPr>
        <w:ind w:firstLine="643" w:firstLineChars="200"/>
        <w:rPr>
          <w:rFonts w:hint="default" w:ascii="Times New Roman" w:hAnsi="Times New Roman" w:eastAsia="方正仿宋简体" w:cs="Times New Roman"/>
          <w:b/>
          <w:bCs/>
          <w:sz w:val="32"/>
          <w:szCs w:val="32"/>
          <w:lang w:val="en-US" w:eastAsia="zh-CN"/>
        </w:rPr>
      </w:pPr>
      <w:r>
        <w:rPr>
          <w:rFonts w:hint="eastAsia" w:eastAsia="方正仿宋简体" w:cs="Times New Roman"/>
          <w:b/>
          <w:bCs/>
          <w:sz w:val="32"/>
          <w:szCs w:val="32"/>
          <w:lang w:val="en-US" w:eastAsia="zh-CN"/>
        </w:rPr>
        <w:t>8、其他与生长激素缺乏症相对应的症状和体征。</w:t>
      </w:r>
    </w:p>
    <w:p>
      <w:pPr>
        <w:ind w:firstLine="640" w:firstLineChars="200"/>
        <w:rPr>
          <w:rFonts w:hint="default" w:ascii="Times New Roman" w:hAnsi="Times New Roman" w:eastAsia="方正仿宋简体"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p>
      <w:pPr>
        <w:ind w:firstLine="640" w:firstLineChars="200"/>
        <w:rPr>
          <w:rFonts w:hint="default" w:ascii="Times New Roman" w:hAnsi="Times New Roman" w:eastAsia="方正仿宋简体" w:cs="Times New Roman"/>
          <w:sz w:val="32"/>
          <w:szCs w:val="32"/>
        </w:rPr>
      </w:pPr>
    </w:p>
    <w:tbl>
      <w:tblPr>
        <w:tblStyle w:val="5"/>
        <w:tblpPr w:leftFromText="180" w:rightFromText="180" w:vertAnchor="text" w:horzAnchor="page" w:tblpX="1780" w:tblpY="515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Borders>
              <w:left w:val="nil"/>
              <w:right w:val="nil"/>
            </w:tcBorders>
            <w:vAlign w:val="top"/>
          </w:tcPr>
          <w:p>
            <w:pPr>
              <w:keepNext w:val="0"/>
              <w:keepLines w:val="0"/>
              <w:pageBreakBefore w:val="0"/>
              <w:widowControl w:val="0"/>
              <w:kinsoku/>
              <w:wordWrap w:val="0"/>
              <w:overflowPunct/>
              <w:topLinePunct w:val="0"/>
              <w:autoSpaceDE/>
              <w:autoSpaceDN/>
              <w:bidi w:val="0"/>
              <w:adjustRightInd/>
              <w:snapToGrid/>
              <w:spacing w:line="600" w:lineRule="exact"/>
              <w:ind w:firstLine="281" w:firstLineChars="100"/>
              <w:jc w:val="left"/>
              <w:textAlignment w:val="auto"/>
              <w:rPr>
                <w:rFonts w:hint="eastAsia" w:ascii="方正仿宋简体" w:hAnsi="方正仿宋简体" w:eastAsia="方正仿宋简体" w:cs="方正仿宋简体"/>
                <w:b/>
                <w:bCs/>
                <w:color w:val="auto"/>
                <w:kern w:val="2"/>
                <w:sz w:val="28"/>
                <w:szCs w:val="28"/>
                <w:vertAlign w:val="baseline"/>
                <w:lang w:val="en-US" w:eastAsia="zh-CN" w:bidi="ar-SA"/>
              </w:rPr>
            </w:pPr>
            <w:r>
              <w:rPr>
                <w:rFonts w:hint="eastAsia" w:ascii="方正仿宋简体" w:hAnsi="方正仿宋简体" w:eastAsia="方正仿宋简体" w:cs="方正仿宋简体"/>
                <w:b/>
                <w:bCs/>
                <w:color w:val="auto"/>
                <w:kern w:val="2"/>
                <w:sz w:val="28"/>
                <w:szCs w:val="28"/>
                <w:vertAlign w:val="baseline"/>
                <w:lang w:val="en-US" w:eastAsia="zh-CN" w:bidi="ar-SA"/>
              </w:rPr>
              <w:t xml:space="preserve">济宁市医疗保障局办公室         </w:t>
            </w:r>
            <w:r>
              <w:rPr>
                <w:rFonts w:hint="eastAsia" w:ascii="Times New Roman" w:hAnsi="Times New Roman" w:eastAsia="方正仿宋简体" w:cs="方正仿宋简体"/>
                <w:b/>
                <w:bCs/>
                <w:color w:val="auto"/>
                <w:kern w:val="2"/>
                <w:sz w:val="28"/>
                <w:szCs w:val="28"/>
                <w:vertAlign w:val="baseline"/>
                <w:lang w:val="en-US" w:eastAsia="zh-CN" w:bidi="ar-SA"/>
              </w:rPr>
              <w:t xml:space="preserve">     2020年</w:t>
            </w:r>
            <w:r>
              <w:rPr>
                <w:rFonts w:hint="eastAsia" w:eastAsia="方正仿宋简体" w:cs="方正仿宋简体"/>
                <w:b/>
                <w:bCs/>
                <w:color w:val="auto"/>
                <w:kern w:val="2"/>
                <w:sz w:val="28"/>
                <w:szCs w:val="28"/>
                <w:vertAlign w:val="baseline"/>
                <w:lang w:val="en-US" w:eastAsia="zh-CN" w:bidi="ar-SA"/>
              </w:rPr>
              <w:t>6</w:t>
            </w:r>
            <w:r>
              <w:rPr>
                <w:rFonts w:hint="eastAsia" w:ascii="Times New Roman" w:hAnsi="Times New Roman" w:eastAsia="方正仿宋简体" w:cs="方正仿宋简体"/>
                <w:b/>
                <w:bCs/>
                <w:color w:val="auto"/>
                <w:kern w:val="2"/>
                <w:sz w:val="28"/>
                <w:szCs w:val="28"/>
                <w:vertAlign w:val="baseline"/>
                <w:lang w:val="en-US" w:eastAsia="zh-CN" w:bidi="ar-SA"/>
              </w:rPr>
              <w:t>月2</w:t>
            </w:r>
            <w:r>
              <w:rPr>
                <w:rFonts w:hint="eastAsia" w:eastAsia="方正仿宋简体" w:cs="方正仿宋简体"/>
                <w:b/>
                <w:bCs/>
                <w:color w:val="auto"/>
                <w:kern w:val="2"/>
                <w:sz w:val="28"/>
                <w:szCs w:val="28"/>
                <w:vertAlign w:val="baseline"/>
                <w:lang w:val="en-US" w:eastAsia="zh-CN" w:bidi="ar-SA"/>
              </w:rPr>
              <w:t>9</w:t>
            </w:r>
            <w:r>
              <w:rPr>
                <w:rFonts w:hint="eastAsia" w:ascii="Times New Roman" w:hAnsi="Times New Roman" w:eastAsia="方正仿宋简体" w:cs="方正仿宋简体"/>
                <w:b/>
                <w:bCs/>
                <w:color w:val="auto"/>
                <w:kern w:val="2"/>
                <w:sz w:val="28"/>
                <w:szCs w:val="28"/>
                <w:vertAlign w:val="baseline"/>
                <w:lang w:val="en-US" w:eastAsia="zh-CN" w:bidi="ar-SA"/>
              </w:rPr>
              <w:t>日印发</w:t>
            </w:r>
          </w:p>
        </w:tc>
      </w:tr>
    </w:tbl>
    <w:p>
      <w:pPr>
        <w:rPr>
          <w:rFonts w:hint="default" w:ascii="Times New Roman" w:hAnsi="Times New Roman" w:eastAsia="方正仿宋简体" w:cs="Times New Roman"/>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C1FD8"/>
    <w:multiLevelType w:val="singleLevel"/>
    <w:tmpl w:val="A2DC1F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4002D"/>
    <w:rsid w:val="06851FBB"/>
    <w:rsid w:val="0FF4002D"/>
    <w:rsid w:val="2086278B"/>
    <w:rsid w:val="60B57F3C"/>
    <w:rsid w:val="66EC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2020-06-22T03:01:00Z</dcterms:created>
  <dc:creator>丸子</dc:creator>
  <cp:lastModifiedBy>丸子</cp:lastModifiedBy>
  <cp:lastPrinted>2020-06-29T09:05:00Z</cp:lastPrinted>
  <dcterms:modified xsi:type="dcterms:W3CDTF">2020-06-29T09:11:04Z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