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490"/>
        <w:spacing w:before="221" w:line="220" w:lineRule="auto"/>
        <w:outlineLvl w:val="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-3"/>
        </w:rPr>
        <w:t>济宁市居民医疗保险待遇一览表</w:t>
      </w:r>
    </w:p>
    <w:p>
      <w:pPr>
        <w:ind w:left="3726"/>
        <w:spacing w:before="11" w:line="452" w:lineRule="exact"/>
        <w:outlineLvl w:val="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7"/>
          <w:position w:val="2"/>
        </w:rPr>
        <w:t>（2025年7月）</w:t>
      </w:r>
    </w:p>
    <w:p>
      <w:pPr>
        <w:spacing w:line="138" w:lineRule="exact"/>
        <w:rPr/>
      </w:pPr>
      <w:r/>
    </w:p>
    <w:tbl>
      <w:tblPr>
        <w:tblStyle w:val="TableNormal"/>
        <w:tblW w:w="963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3"/>
        <w:gridCol w:w="1370"/>
        <w:gridCol w:w="1742"/>
        <w:gridCol w:w="1934"/>
        <w:gridCol w:w="1934"/>
        <w:gridCol w:w="1942"/>
      </w:tblGrid>
      <w:tr>
        <w:trPr>
          <w:trHeight w:val="511" w:hRule="atLeast"/>
        </w:trPr>
        <w:tc>
          <w:tcPr>
            <w:tcW w:w="7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76" w:right="70" w:firstLine="2"/>
              <w:spacing w:before="58" w:line="232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>基本医</w:t>
            </w: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疗保险</w:t>
            </w:r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499"/>
              <w:spacing w:before="58" w:line="227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>住院</w:t>
            </w:r>
          </w:p>
        </w:tc>
        <w:tc>
          <w:tcPr>
            <w:tcW w:w="17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4" w:lineRule="auto"/>
              <w:rPr/>
            </w:pPr>
            <w:r/>
          </w:p>
          <w:p>
            <w:pPr>
              <w:ind w:left="506"/>
              <w:spacing w:before="59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起付标准</w:t>
            </w:r>
          </w:p>
        </w:tc>
        <w:tc>
          <w:tcPr>
            <w:tcW w:w="1934" w:type="dxa"/>
            <w:vAlign w:val="top"/>
          </w:tcPr>
          <w:p>
            <w:pPr>
              <w:ind w:left="422"/>
              <w:spacing w:before="17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一级医疗机构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725"/>
              <w:spacing w:before="172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100元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22"/>
              <w:spacing w:before="16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二级医疗机构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711"/>
              <w:spacing w:before="162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400元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19"/>
              <w:spacing w:before="16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三级医疗机构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712"/>
              <w:spacing w:before="165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800元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504"/>
              <w:spacing w:before="59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报销比例</w:t>
            </w:r>
          </w:p>
        </w:tc>
        <w:tc>
          <w:tcPr>
            <w:tcW w:w="1934" w:type="dxa"/>
            <w:vAlign w:val="top"/>
          </w:tcPr>
          <w:p>
            <w:pPr>
              <w:ind w:left="422"/>
              <w:spacing w:before="16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一级医疗机构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805"/>
              <w:spacing w:before="163" w:line="239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position w:val="1"/>
              </w:rPr>
              <w:t>85%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22"/>
              <w:spacing w:before="166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二级医疗机构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809"/>
              <w:spacing w:before="166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  <w:position w:val="1"/>
              </w:rPr>
              <w:t>75%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4" w:type="dxa"/>
            <w:vAlign w:val="top"/>
          </w:tcPr>
          <w:p>
            <w:pPr>
              <w:ind w:left="419"/>
              <w:spacing w:before="166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三级医疗机构</w:t>
            </w:r>
          </w:p>
        </w:tc>
        <w:tc>
          <w:tcPr>
            <w:tcW w:w="3876" w:type="dxa"/>
            <w:vAlign w:val="top"/>
            <w:gridSpan w:val="2"/>
          </w:tcPr>
          <w:p>
            <w:pPr>
              <w:ind w:left="1806"/>
              <w:spacing w:before="166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  <w:position w:val="1"/>
              </w:rPr>
              <w:t>60%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323"/>
              <w:spacing w:before="16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最高支付限额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876"/>
              <w:spacing w:before="16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一个自然年度内，基本医保最高支付限额为</w:t>
            </w:r>
            <w:r>
              <w:rPr>
                <w:rFonts w:ascii="SimSun" w:hAnsi="SimSun" w:eastAsia="SimSun" w:cs="SimSun"/>
                <w:sz w:val="18"/>
                <w:szCs w:val="18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15万元</w:t>
            </w:r>
          </w:p>
        </w:tc>
      </w:tr>
      <w:tr>
        <w:trPr>
          <w:trHeight w:val="749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52" w:type="dxa"/>
            <w:vAlign w:val="top"/>
            <w:gridSpan w:val="4"/>
          </w:tcPr>
          <w:p>
            <w:pPr>
              <w:ind w:left="721"/>
              <w:spacing w:before="17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注：1.中医医疗机构住院就医的起付标准降低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100元，起付标准最低为100元</w:t>
            </w:r>
          </w:p>
          <w:p>
            <w:pPr>
              <w:ind w:left="496"/>
              <w:spacing w:before="1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2.学生和其他未成年人住院报销比例在成年居民支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付比例的基础上提高</w:t>
            </w:r>
            <w:r>
              <w:rPr>
                <w:rFonts w:ascii="SimSun" w:hAnsi="SimSun" w:eastAsia="SimSun" w:cs="SimSun"/>
                <w:sz w:val="18"/>
                <w:szCs w:val="18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5个百分点</w:t>
            </w:r>
          </w:p>
        </w:tc>
      </w:tr>
      <w:tr>
        <w:trPr>
          <w:trHeight w:val="512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28"/>
              <w:spacing w:before="58" w:line="22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>门诊慢特病</w:t>
            </w:r>
          </w:p>
        </w:tc>
        <w:tc>
          <w:tcPr>
            <w:tcW w:w="17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506"/>
              <w:spacing w:before="58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起付标准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2682"/>
              <w:spacing w:before="171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500元</w:t>
            </w:r>
          </w:p>
        </w:tc>
      </w:tr>
      <w:tr>
        <w:trPr>
          <w:trHeight w:val="785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10" w:type="dxa"/>
            <w:vAlign w:val="top"/>
            <w:gridSpan w:val="3"/>
          </w:tcPr>
          <w:p>
            <w:pPr>
              <w:ind w:left="455"/>
              <w:spacing w:before="19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注：1.门诊慢特病定点在中医医疗机构的</w:t>
            </w:r>
            <w:r>
              <w:rPr>
                <w:rFonts w:ascii="SimSun" w:hAnsi="SimSun" w:eastAsia="SimSun" w:cs="SimSun"/>
                <w:sz w:val="18"/>
                <w:szCs w:val="18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，起付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标准为400元</w:t>
            </w:r>
          </w:p>
          <w:p>
            <w:pPr>
              <w:ind w:left="136"/>
              <w:spacing w:before="1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2.门诊慢特病中血友病</w:t>
            </w:r>
            <w:r>
              <w:rPr>
                <w:rFonts w:ascii="SimSun" w:hAnsi="SimSun" w:eastAsia="SimSun" w:cs="SimSun"/>
                <w:sz w:val="18"/>
                <w:szCs w:val="18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、尿毒症、严重精神障碍治疗</w:t>
            </w:r>
            <w:r>
              <w:rPr>
                <w:rFonts w:ascii="SimSun" w:hAnsi="SimSun" w:eastAsia="SimSun" w:cs="SimSun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，不设起付标准</w:t>
            </w:r>
          </w:p>
        </w:tc>
      </w:tr>
      <w:tr>
        <w:trPr>
          <w:trHeight w:val="785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504"/>
              <w:spacing w:before="58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报销比例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1963"/>
              <w:spacing w:before="198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甲类病种报销比例为70%</w:t>
            </w:r>
          </w:p>
          <w:p>
            <w:pPr>
              <w:ind w:left="287"/>
              <w:spacing w:before="11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乙类病种在一、二、三级医疗机构报销比例分别为65%、5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5%、45%</w:t>
            </w:r>
          </w:p>
        </w:tc>
      </w:tr>
      <w:tr>
        <w:trPr>
          <w:trHeight w:val="785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ind w:left="323"/>
              <w:spacing w:before="58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最高支付限额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2011" w:right="18" w:hanging="1949"/>
              <w:spacing w:before="200" w:line="23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甲类病种15万元，乙类病种6000元，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同时患有甲类和乙类慢特病的</w:t>
            </w:r>
            <w:r>
              <w:rPr>
                <w:rFonts w:ascii="SimSun" w:hAnsi="SimSun" w:eastAsia="SimSun" w:cs="SimSun"/>
                <w:sz w:val="18"/>
                <w:szCs w:val="18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，按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甲类病种政策进行支付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313"/>
              <w:spacing w:before="59" w:line="22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普通门诊</w:t>
            </w:r>
          </w:p>
        </w:tc>
        <w:tc>
          <w:tcPr>
            <w:tcW w:w="1742" w:type="dxa"/>
            <w:vAlign w:val="top"/>
          </w:tcPr>
          <w:p>
            <w:pPr>
              <w:ind w:left="506"/>
              <w:spacing w:before="17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起付标准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2773"/>
              <w:spacing w:before="175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504"/>
              <w:spacing w:before="175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报销比例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1567"/>
              <w:spacing w:before="17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基层医疗卫生机构报销比例：</w:t>
            </w:r>
            <w:r>
              <w:rPr>
                <w:rFonts w:ascii="SimSun" w:hAnsi="SimSun" w:eastAsia="SimSun" w:cs="SimSun"/>
                <w:sz w:val="18"/>
                <w:szCs w:val="18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65%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323"/>
              <w:spacing w:before="17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最高支付限额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921"/>
              <w:spacing w:before="17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一个自然年度内，普通门诊最高支付限额为300元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313" w:right="308" w:firstLine="4"/>
              <w:spacing w:before="5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1"/>
              </w:rPr>
              <w:t>两病门诊</w:t>
            </w:r>
            <w:r>
              <w:rPr>
                <w:rFonts w:ascii="SimHei" w:hAnsi="SimHei" w:eastAsia="SimHei" w:cs="SimHei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用药保障</w:t>
            </w:r>
          </w:p>
        </w:tc>
        <w:tc>
          <w:tcPr>
            <w:tcW w:w="1742" w:type="dxa"/>
            <w:vAlign w:val="top"/>
          </w:tcPr>
          <w:p>
            <w:pPr>
              <w:ind w:left="506"/>
              <w:spacing w:before="176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起付标准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2773"/>
              <w:spacing w:before="176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0元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504"/>
              <w:spacing w:before="17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报销比例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2775"/>
              <w:spacing w:before="174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  <w:position w:val="1"/>
              </w:rPr>
              <w:t>75%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323"/>
              <w:spacing w:before="177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最高支付限额</w:t>
            </w:r>
          </w:p>
        </w:tc>
        <w:tc>
          <w:tcPr>
            <w:tcW w:w="5810" w:type="dxa"/>
            <w:vAlign w:val="top"/>
            <w:gridSpan w:val="3"/>
          </w:tcPr>
          <w:p>
            <w:pPr>
              <w:ind w:left="1291" w:right="73" w:hanging="1202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一个自然年度内高血压</w:t>
            </w:r>
            <w:r>
              <w:rPr>
                <w:rFonts w:ascii="SimSun" w:hAnsi="SimSun" w:eastAsia="SimSun" w:cs="SimSun"/>
                <w:sz w:val="18"/>
                <w:szCs w:val="18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、糖尿病最高支付限额均为300元，合并两病及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使用胰岛素治疗的最高支付限额为600元</w:t>
            </w:r>
          </w:p>
        </w:tc>
      </w:tr>
      <w:tr>
        <w:trPr>
          <w:trHeight w:val="953" w:hRule="atLeast"/>
        </w:trPr>
        <w:tc>
          <w:tcPr>
            <w:tcW w:w="7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75" w:right="70" w:firstLine="1"/>
              <w:spacing w:before="59" w:line="231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居民大</w:t>
            </w:r>
            <w:r>
              <w:rPr>
                <w:rFonts w:ascii="SimHei" w:hAnsi="SimHei" w:eastAsia="SimHei" w:cs="SimHei"/>
                <w:sz w:val="18"/>
                <w:szCs w:val="18"/>
              </w:rPr>
              <w:t xml:space="preserve"> </w:t>
            </w: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病保险</w:t>
            </w:r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24"/>
              <w:spacing w:before="58" w:line="226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个人负担部分</w:t>
            </w:r>
          </w:p>
        </w:tc>
        <w:tc>
          <w:tcPr>
            <w:tcW w:w="7552" w:type="dxa"/>
            <w:vAlign w:val="top"/>
            <w:gridSpan w:val="4"/>
          </w:tcPr>
          <w:p>
            <w:pPr>
              <w:ind w:left="1004" w:right="111" w:hanging="879"/>
              <w:spacing w:before="287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一个自然年度内，个人负担的住院（含门诊慢特病）政策范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围内医疗费用超过</w:t>
            </w:r>
            <w:r>
              <w:rPr>
                <w:rFonts w:ascii="SimSun" w:hAnsi="SimSun" w:eastAsia="SimSun" w:cs="SimSun"/>
                <w:sz w:val="18"/>
                <w:szCs w:val="18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1.4万元以上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部分，分段进行报销（分段报销比例如下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）</w:t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，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最高支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付限额为40万元</w:t>
            </w:r>
          </w:p>
        </w:tc>
      </w:tr>
      <w:tr>
        <w:trPr>
          <w:trHeight w:val="503" w:hRule="atLeast"/>
        </w:trPr>
        <w:tc>
          <w:tcPr>
            <w:tcW w:w="71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145"/>
              <w:spacing w:before="179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1.4万（含）-10万</w:t>
            </w:r>
          </w:p>
        </w:tc>
        <w:tc>
          <w:tcPr>
            <w:tcW w:w="1934" w:type="dxa"/>
            <w:vAlign w:val="top"/>
          </w:tcPr>
          <w:p>
            <w:pPr>
              <w:ind w:left="291"/>
              <w:spacing w:before="179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>10万（含）-20万</w:t>
            </w:r>
          </w:p>
        </w:tc>
        <w:tc>
          <w:tcPr>
            <w:tcW w:w="1934" w:type="dxa"/>
            <w:vAlign w:val="top"/>
          </w:tcPr>
          <w:p>
            <w:pPr>
              <w:ind w:left="280"/>
              <w:spacing w:before="179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20万（含）-30万</w:t>
            </w:r>
          </w:p>
        </w:tc>
        <w:tc>
          <w:tcPr>
            <w:tcW w:w="1942" w:type="dxa"/>
            <w:vAlign w:val="top"/>
          </w:tcPr>
          <w:p>
            <w:pPr>
              <w:ind w:left="520"/>
              <w:spacing w:before="179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>30万及以上</w:t>
            </w:r>
          </w:p>
        </w:tc>
      </w:tr>
      <w:tr>
        <w:trPr>
          <w:trHeight w:val="511" w:hRule="atLeast"/>
        </w:trPr>
        <w:tc>
          <w:tcPr>
            <w:tcW w:w="713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42" w:type="dxa"/>
            <w:vAlign w:val="top"/>
          </w:tcPr>
          <w:p>
            <w:pPr>
              <w:ind w:left="735"/>
              <w:spacing w:before="179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  <w:position w:val="1"/>
              </w:rPr>
              <w:t>60%</w:t>
            </w:r>
          </w:p>
        </w:tc>
        <w:tc>
          <w:tcPr>
            <w:tcW w:w="1934" w:type="dxa"/>
            <w:vAlign w:val="top"/>
          </w:tcPr>
          <w:p>
            <w:pPr>
              <w:ind w:left="836"/>
              <w:spacing w:before="179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  <w:position w:val="1"/>
              </w:rPr>
              <w:t>65%</w:t>
            </w:r>
          </w:p>
        </w:tc>
        <w:tc>
          <w:tcPr>
            <w:tcW w:w="1934" w:type="dxa"/>
            <w:vAlign w:val="top"/>
          </w:tcPr>
          <w:p>
            <w:pPr>
              <w:ind w:left="840"/>
              <w:spacing w:before="179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  <w:position w:val="1"/>
              </w:rPr>
              <w:t>70%</w:t>
            </w:r>
          </w:p>
        </w:tc>
        <w:tc>
          <w:tcPr>
            <w:tcW w:w="1942" w:type="dxa"/>
            <w:vAlign w:val="top"/>
          </w:tcPr>
          <w:p>
            <w:pPr>
              <w:ind w:left="845"/>
              <w:spacing w:before="179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  <w:position w:val="1"/>
              </w:rPr>
              <w:t>75%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181" w:bottom="0" w:left="10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3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3"/>
        <w:gridCol w:w="1370"/>
        <w:gridCol w:w="7552"/>
      </w:tblGrid>
      <w:tr>
        <w:trPr>
          <w:trHeight w:val="506" w:hRule="atLeast"/>
        </w:trPr>
        <w:tc>
          <w:tcPr>
            <w:tcW w:w="71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0" w:type="dxa"/>
            <w:vAlign w:val="top"/>
          </w:tcPr>
          <w:p>
            <w:pPr>
              <w:ind w:left="310"/>
              <w:spacing w:before="172" w:line="227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3"/>
              </w:rPr>
              <w:t>特药部分</w:t>
            </w:r>
          </w:p>
        </w:tc>
        <w:tc>
          <w:tcPr>
            <w:tcW w:w="7552" w:type="dxa"/>
            <w:vAlign w:val="top"/>
          </w:tcPr>
          <w:p>
            <w:pPr>
              <w:ind w:left="3598" w:right="60" w:hanging="3522"/>
              <w:spacing w:before="57" w:line="22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一个自然年度内，省规定的特药部分</w:t>
            </w:r>
            <w:r>
              <w:rPr>
                <w:rFonts w:ascii="SimSun" w:hAnsi="SimSun" w:eastAsia="SimSun" w:cs="SimSun"/>
                <w:sz w:val="18"/>
                <w:szCs w:val="18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，个人负担2万以上，报销比例80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%，最高支付限额为40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万元</w:t>
            </w:r>
          </w:p>
        </w:tc>
      </w:tr>
      <w:tr>
        <w:trPr>
          <w:trHeight w:val="498" w:hRule="atLeast"/>
        </w:trPr>
        <w:tc>
          <w:tcPr>
            <w:tcW w:w="2083" w:type="dxa"/>
            <w:vAlign w:val="top"/>
            <w:gridSpan w:val="2"/>
          </w:tcPr>
          <w:p>
            <w:pPr>
              <w:ind w:left="483"/>
              <w:spacing w:before="170" w:line="228" w:lineRule="auto"/>
              <w:rPr>
                <w:rFonts w:ascii="SimHei" w:hAnsi="SimHei" w:eastAsia="SimHei" w:cs="SimHei"/>
                <w:sz w:val="18"/>
                <w:szCs w:val="18"/>
              </w:rPr>
            </w:pPr>
            <w:r>
              <w:rPr>
                <w:rFonts w:ascii="SimHei" w:hAnsi="SimHei" w:eastAsia="SimHei" w:cs="SimHei"/>
                <w:sz w:val="18"/>
                <w:szCs w:val="18"/>
                <w:spacing w:val="4"/>
              </w:rPr>
              <w:t>居民生育待遇</w:t>
            </w:r>
          </w:p>
        </w:tc>
        <w:tc>
          <w:tcPr>
            <w:tcW w:w="7552" w:type="dxa"/>
            <w:vAlign w:val="top"/>
          </w:tcPr>
          <w:p>
            <w:pPr>
              <w:ind w:left="73"/>
              <w:spacing w:before="170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5"/>
              </w:rPr>
              <w:t>居民住院分娩补助标准：生育一孩补助1800元，生</w:t>
            </w:r>
            <w:r>
              <w:rPr>
                <w:rFonts w:ascii="SimSun" w:hAnsi="SimSun" w:eastAsia="SimSun" w:cs="SimSun"/>
                <w:sz w:val="18"/>
                <w:szCs w:val="18"/>
                <w:spacing w:val="4"/>
              </w:rPr>
              <w:t>育二孩补助2000元，生育三孩补助3000元</w:t>
            </w:r>
          </w:p>
        </w:tc>
      </w:tr>
      <w:tr>
        <w:trPr>
          <w:trHeight w:val="342" w:hRule="atLeast"/>
        </w:trPr>
        <w:tc>
          <w:tcPr>
            <w:tcW w:w="9635" w:type="dxa"/>
            <w:vAlign w:val="top"/>
            <w:gridSpan w:val="3"/>
          </w:tcPr>
          <w:p>
            <w:pPr>
              <w:ind w:left="3530"/>
              <w:spacing w:before="91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>此表仅供参考，以政策文件为准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181" w:bottom="0" w:left="107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济宁医保待遇科</dc:creator>
  <dcterms:created xsi:type="dcterms:W3CDTF">2025-08-01T12:20:41Z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2025-08-01T12:23:16</vt:filetime>
  </property>
</Properties>
</file>