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济医保中心发〔2021〕4号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关于做好2021年度企业职工基本医疗保险</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缴费基数申报工作的通知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各县（市、区）医疗保障经办机构，济宁高新区人力资源服务中心、济宁太白湖新区社会保障事业服务中心、济宁经济开发区人力资源和社会保障服务中心，兖矿集团人力资源服务中心，市直各参保单位：</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为做好我市企业职工年度医疗保险缴费基数申报工作，根据《社会保险法》及医疗保险费征缴有关政策要求，结合我市工作实际，现将有关事项通知如下：</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微软雅黑" w:cs="Times New Roman"/>
          <w:b/>
          <w:bCs w:val="0"/>
          <w:color w:val="000000" w:themeColor="text1"/>
          <w:kern w:val="0"/>
          <w:sz w:val="23"/>
          <w:szCs w:val="23"/>
          <w14:textFill>
            <w14:solidFill>
              <w14:schemeClr w14:val="tx1"/>
            </w14:solidFill>
          </w14:textFill>
        </w:rPr>
      </w:pPr>
      <w:r>
        <w:rPr>
          <w:rFonts w:hint="default" w:ascii="Times New Roman" w:hAnsi="Times New Roman" w:eastAsia="黑体" w:cs="Times New Roman"/>
          <w:b/>
          <w:bCs w:val="0"/>
          <w:color w:val="000000" w:themeColor="text1"/>
          <w:kern w:val="0"/>
          <w:sz w:val="32"/>
          <w:szCs w:val="32"/>
          <w14:textFill>
            <w14:solidFill>
              <w14:schemeClr w14:val="tx1"/>
            </w14:solidFill>
          </w14:textFill>
        </w:rPr>
        <w:t>一、申报范围</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 w:cs="Times New Roman"/>
          <w:b/>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我市参加企业职工基本医疗保险的各类单位（不含以个人身份缴费的灵活就业人员）。</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微软雅黑" w:cs="Times New Roman"/>
          <w:b/>
          <w:bCs w:val="0"/>
          <w:color w:val="000000" w:themeColor="text1"/>
          <w:kern w:val="0"/>
          <w:sz w:val="23"/>
          <w:szCs w:val="23"/>
          <w14:textFill>
            <w14:solidFill>
              <w14:schemeClr w14:val="tx1"/>
            </w14:solidFill>
          </w14:textFill>
        </w:rPr>
      </w:pPr>
      <w:r>
        <w:rPr>
          <w:rFonts w:hint="default" w:ascii="Times New Roman" w:hAnsi="Times New Roman" w:eastAsia="黑体" w:cs="Times New Roman"/>
          <w:b/>
          <w:bCs w:val="0"/>
          <w:color w:val="000000" w:themeColor="text1"/>
          <w:kern w:val="0"/>
          <w:sz w:val="32"/>
          <w:szCs w:val="32"/>
          <w:lang w:eastAsia="zh-CN"/>
          <w14:textFill>
            <w14:solidFill>
              <w14:schemeClr w14:val="tx1"/>
            </w14:solidFill>
          </w14:textFill>
        </w:rPr>
        <w:t>二</w:t>
      </w:r>
      <w:r>
        <w:rPr>
          <w:rFonts w:hint="default" w:ascii="Times New Roman" w:hAnsi="Times New Roman" w:eastAsia="黑体" w:cs="Times New Roman"/>
          <w:b/>
          <w:bCs w:val="0"/>
          <w:color w:val="000000" w:themeColor="text1"/>
          <w:kern w:val="0"/>
          <w:sz w:val="32"/>
          <w:szCs w:val="32"/>
          <w14:textFill>
            <w14:solidFill>
              <w14:schemeClr w14:val="tx1"/>
            </w14:solidFill>
          </w14:textFill>
        </w:rPr>
        <w:t>、申报方式及时间</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1</w:t>
      </w:r>
      <w:r>
        <w:rPr>
          <w:rFonts w:hint="eastAsia" w:ascii="Times New Roman" w:hAnsi="Times New Roman" w:eastAsia="楷体"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申报方式：</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网上申报。</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2</w:t>
      </w:r>
      <w:r>
        <w:rPr>
          <w:rFonts w:hint="eastAsia" w:ascii="Times New Roman" w:hAnsi="Times New Roman" w:eastAsia="楷体"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申报时间：</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8月1</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日至9月10日。</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微软雅黑" w:cs="Times New Roman"/>
          <w:b/>
          <w:bCs w:val="0"/>
          <w:color w:val="000000" w:themeColor="text1"/>
          <w:kern w:val="0"/>
          <w:sz w:val="23"/>
          <w:szCs w:val="23"/>
          <w14:textFill>
            <w14:solidFill>
              <w14:schemeClr w14:val="tx1"/>
            </w14:solidFill>
          </w14:textFill>
        </w:rPr>
      </w:pPr>
      <w:r>
        <w:rPr>
          <w:rFonts w:hint="default" w:ascii="Times New Roman" w:hAnsi="Times New Roman" w:eastAsia="黑体" w:cs="Times New Roman"/>
          <w:b/>
          <w:bCs w:val="0"/>
          <w:color w:val="000000" w:themeColor="text1"/>
          <w:kern w:val="0"/>
          <w:sz w:val="32"/>
          <w:szCs w:val="32"/>
          <w:lang w:eastAsia="zh-CN"/>
          <w14:textFill>
            <w14:solidFill>
              <w14:schemeClr w14:val="tx1"/>
            </w14:solidFill>
          </w14:textFill>
        </w:rPr>
        <w:t>三</w:t>
      </w:r>
      <w:r>
        <w:rPr>
          <w:rFonts w:hint="default" w:ascii="Times New Roman" w:hAnsi="Times New Roman" w:eastAsia="黑体" w:cs="Times New Roman"/>
          <w:b/>
          <w:bCs w:val="0"/>
          <w:color w:val="000000" w:themeColor="text1"/>
          <w:kern w:val="0"/>
          <w:sz w:val="32"/>
          <w:szCs w:val="32"/>
          <w14:textFill>
            <w14:solidFill>
              <w14:schemeClr w14:val="tx1"/>
            </w14:solidFill>
          </w14:textFill>
        </w:rPr>
        <w:t>、</w:t>
      </w:r>
      <w:r>
        <w:rPr>
          <w:rFonts w:hint="default" w:ascii="Times New Roman" w:hAnsi="Times New Roman" w:eastAsia="黑体" w:cs="Times New Roman"/>
          <w:b/>
          <w:bCs w:val="0"/>
          <w:color w:val="000000" w:themeColor="text1"/>
          <w:kern w:val="0"/>
          <w:sz w:val="32"/>
          <w:szCs w:val="32"/>
          <w:lang w:eastAsia="zh-CN"/>
          <w14:textFill>
            <w14:solidFill>
              <w14:schemeClr w14:val="tx1"/>
            </w14:solidFill>
          </w14:textFill>
        </w:rPr>
        <w:t>网上</w:t>
      </w:r>
      <w:r>
        <w:rPr>
          <w:rFonts w:hint="default" w:ascii="Times New Roman" w:hAnsi="Times New Roman" w:eastAsia="黑体" w:cs="Times New Roman"/>
          <w:b/>
          <w:bCs w:val="0"/>
          <w:color w:val="000000" w:themeColor="text1"/>
          <w:kern w:val="0"/>
          <w:sz w:val="32"/>
          <w:szCs w:val="32"/>
          <w14:textFill>
            <w14:solidFill>
              <w14:schemeClr w14:val="tx1"/>
            </w14:solidFill>
          </w14:textFill>
        </w:rPr>
        <w:t>申报流程</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参保单位登录“济宁市医疗保障局官网”(http://sybj.</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jining.gov.cn/)首页—“医保业务办理（单位）”—“济宁市医疗保险单位网上服务系统”，打开“缴费基数申报”功能菜单进行申报操作。详见《参保单位缴费基数网上申报操作说明》（附件）。</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微软雅黑" w:cs="Times New Roman"/>
          <w:b/>
          <w:bCs w:val="0"/>
          <w:color w:val="000000" w:themeColor="text1"/>
          <w:kern w:val="0"/>
          <w:sz w:val="23"/>
          <w:szCs w:val="23"/>
          <w14:textFill>
            <w14:solidFill>
              <w14:schemeClr w14:val="tx1"/>
            </w14:solidFill>
          </w14:textFill>
        </w:rPr>
      </w:pPr>
      <w:r>
        <w:rPr>
          <w:rFonts w:hint="default" w:ascii="Times New Roman" w:hAnsi="Times New Roman" w:eastAsia="黑体" w:cs="Times New Roman"/>
          <w:b/>
          <w:bCs w:val="0"/>
          <w:color w:val="000000" w:themeColor="text1"/>
          <w:kern w:val="0"/>
          <w:sz w:val="32"/>
          <w:szCs w:val="32"/>
          <w:lang w:eastAsia="zh-CN"/>
          <w14:textFill>
            <w14:solidFill>
              <w14:schemeClr w14:val="tx1"/>
            </w14:solidFill>
          </w14:textFill>
        </w:rPr>
        <w:t>四</w:t>
      </w:r>
      <w:r>
        <w:rPr>
          <w:rFonts w:hint="default" w:ascii="Times New Roman" w:hAnsi="Times New Roman" w:eastAsia="黑体" w:cs="Times New Roman"/>
          <w:b/>
          <w:bCs w:val="0"/>
          <w:color w:val="000000" w:themeColor="text1"/>
          <w:kern w:val="0"/>
          <w:sz w:val="32"/>
          <w:szCs w:val="32"/>
          <w14:textFill>
            <w14:solidFill>
              <w14:schemeClr w14:val="tx1"/>
            </w14:solidFill>
          </w14:textFill>
        </w:rPr>
        <w:t>、基数确定办法</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（一）基数构成</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参保单位按职工个人上年度月平均工资收入(月平均工资收入按国家统计局规定列入工资总额统计的项目计算)申报缴费基数。新入职职工以当年已发放的月平均工资收入(月平均工资收入按国家统计局规定列入工资总额统计的项目计算)申报缴费基数。</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（二）确定办法</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医保部门将参保单位申报的缴费基数与公积金、税务部门等数据进行比对核实，对申报数据存有疑议的，由医保部门依据有关规定进行稽核。</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医保部门按照“封顶保底”的原则确定职工当年度缴费基数，即职工缴费工资高于</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年度全省全口径城镇单位就业人员月平均工资300%</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（18726元）的</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，按</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18726元</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执行；低于</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度全省全口径城镇单位就业人员月平均工资60%</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（3746元）的</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，按</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3746元</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执行；介于</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3746元和18726元的</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，按实际缴费工资执行。</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微软雅黑" w:cs="Times New Roman"/>
          <w:b/>
          <w:bCs w:val="0"/>
          <w:color w:val="000000" w:themeColor="text1"/>
          <w:kern w:val="0"/>
          <w:sz w:val="23"/>
          <w:szCs w:val="23"/>
          <w14:textFill>
            <w14:solidFill>
              <w14:schemeClr w14:val="tx1"/>
            </w14:solidFill>
          </w14:textFill>
        </w:rPr>
      </w:pPr>
      <w:r>
        <w:rPr>
          <w:rFonts w:hint="eastAsia" w:ascii="Times New Roman" w:hAnsi="Times New Roman" w:eastAsia="黑体" w:cs="Times New Roman"/>
          <w:b/>
          <w:bCs w:val="0"/>
          <w:color w:val="000000" w:themeColor="text1"/>
          <w:kern w:val="0"/>
          <w:sz w:val="32"/>
          <w:szCs w:val="32"/>
          <w:lang w:eastAsia="zh-CN"/>
          <w14:textFill>
            <w14:solidFill>
              <w14:schemeClr w14:val="tx1"/>
            </w14:solidFill>
          </w14:textFill>
        </w:rPr>
        <w:t>五</w:t>
      </w:r>
      <w:r>
        <w:rPr>
          <w:rFonts w:hint="default" w:ascii="Times New Roman" w:hAnsi="Times New Roman" w:eastAsia="黑体" w:cs="Times New Roman"/>
          <w:b/>
          <w:bCs w:val="0"/>
          <w:color w:val="000000" w:themeColor="text1"/>
          <w:kern w:val="0"/>
          <w:sz w:val="32"/>
          <w:szCs w:val="32"/>
          <w14:textFill>
            <w14:solidFill>
              <w14:schemeClr w14:val="tx1"/>
            </w14:solidFill>
          </w14:textFill>
        </w:rPr>
        <w:t>、相关要求</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（一）切实提高思想认识。</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各县（市、区）医保经办机构要切实提高思想认识，严格规范基数申报核定办法，明确工作流程，不断加强政策宣传力度。各参保单位要高度重视，切实维护参保职工利益，依法依规如实申报缴费基数。参保职工要依法维护个人权益，对违反医疗保险相关法律、法规的行为及时进行举报、投诉。</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（二）严格履行公示制度。</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参保单位对网上申报的职工缴费工资在本单位公示栏或其他显著位置进行公示并由职工本人签字认可。公示时间不得少于7天，确无异议后再完成网上基数申报。公示证明和职工签字确认手续由单位妥善保存待查。</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lang w:val="en-US" w:eastAsia="zh-CN"/>
          <w14:textFill>
            <w14:solidFill>
              <w14:schemeClr w14:val="tx1"/>
            </w14:solidFill>
          </w14:textFill>
        </w:rPr>
        <w:t>（三）依法按时足额申报。</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参保单位应严格按照时间节点完成网上缴费基数申报工作。对未在规定时间内完成网上申报的参保单位，医保部门将依照有关规定，按照该参保单位上年度职工缴费数额的110%，批量核定当年度单位月应缴数额。对未按规定申报，造成漏缴、少缴医疗保险费的参保单位，责令限期缴纳或者补足，并自欠缴之日起，按日加收万分之五的滞纳金；逾期仍不缴纳的，由有关行政部门处欠费数额一倍以上三倍以下的罚款。</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附件：参保单位缴费基数网上申报操作说明</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4498" w:firstLineChars="14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济宁市医疗保险事业中心</w:t>
      </w:r>
    </w:p>
    <w:p>
      <w:pPr>
        <w:keepNext w:val="0"/>
        <w:keepLines w:val="0"/>
        <w:pageBreakBefore w:val="0"/>
        <w:widowControl/>
        <w:kinsoku/>
        <w:wordWrap/>
        <w:overflowPunct/>
        <w:topLinePunct w:val="0"/>
        <w:autoSpaceDE/>
        <w:autoSpaceDN/>
        <w:bidi w:val="0"/>
        <w:adjustRightInd/>
        <w:snapToGrid/>
        <w:spacing w:line="600" w:lineRule="exact"/>
        <w:ind w:firstLine="5159" w:firstLineChars="1606"/>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2021年8月18日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（此件主动公开）</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bCs w:val="0"/>
          <w:color w:val="000000" w:themeColor="text1"/>
          <w:kern w:val="0"/>
          <w:sz w:val="32"/>
          <w:szCs w:val="32"/>
          <w14:textFill>
            <w14:solidFill>
              <w14:schemeClr w14:val="tx1"/>
            </w14:solidFill>
          </w14:textFill>
        </w:rPr>
      </w:pPr>
      <w:r>
        <w:rPr>
          <w:rFonts w:hint="default" w:ascii="Times New Roman" w:hAnsi="Times New Roman" w:eastAsia="黑体" w:cs="Times New Roman"/>
          <w:b/>
          <w:bCs w:val="0"/>
          <w:color w:val="000000" w:themeColor="text1"/>
          <w:kern w:val="0"/>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bCs w:val="0"/>
          <w:color w:val="000000" w:themeColor="text1"/>
          <w:sz w:val="44"/>
          <w:szCs w:val="44"/>
          <w:lang w:val="en-US" w:eastAsia="zh-CN"/>
          <w14:textFill>
            <w14:solidFill>
              <w14:schemeClr w14:val="tx1"/>
            </w14:solidFill>
          </w14:textFill>
        </w:rPr>
        <w:t>参保单位缴费基数网上申报操作说明</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1"/>
        <w:rPr>
          <w:rFonts w:hint="default" w:ascii="Times New Roman" w:hAnsi="Times New Roman" w:eastAsia="黑体" w:cs="Times New Roman"/>
          <w:b/>
          <w:bCs w:val="0"/>
          <w:color w:val="000000" w:themeColor="text1"/>
          <w:kern w:val="0"/>
          <w:sz w:val="32"/>
          <w:szCs w:val="32"/>
          <w14:textFill>
            <w14:solidFill>
              <w14:schemeClr w14:val="tx1"/>
            </w14:solidFill>
          </w14:textFill>
        </w:rPr>
      </w:pPr>
      <w:r>
        <w:rPr>
          <w:rFonts w:hint="default" w:ascii="Times New Roman" w:hAnsi="Times New Roman" w:eastAsia="黑体" w:cs="Times New Roman"/>
          <w:b/>
          <w:bCs w:val="0"/>
          <w:color w:val="000000" w:themeColor="text1"/>
          <w:kern w:val="0"/>
          <w:sz w:val="32"/>
          <w:szCs w:val="32"/>
          <w14:textFill>
            <w14:solidFill>
              <w14:schemeClr w14:val="tx1"/>
            </w14:solidFill>
          </w14:textFill>
        </w:rPr>
        <w:t>一、操作位置</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搜索“济宁市医疗保障局”(http://sybj.jining.gov.cn/)进入官方网站，点击“医疗保险业务办理（单位）”登陆。</w:t>
      </w:r>
    </w:p>
    <w:p>
      <w:pPr>
        <w:widowControl/>
        <w:spacing w:line="360" w:lineRule="atLeast"/>
        <w:ind w:firstLine="480"/>
        <w:jc w:val="left"/>
        <w:rPr>
          <w:rFonts w:hint="default" w:ascii="Times New Roman" w:hAnsi="Times New Roman" w:cs="Times New Roman" w:eastAsiaTheme="minorEastAsia"/>
          <w:b/>
          <w:bCs w:val="0"/>
          <w:color w:val="000000" w:themeColor="text1"/>
          <w:lang w:eastAsia="zh-CN"/>
          <w14:textFill>
            <w14:solidFill>
              <w14:schemeClr w14:val="tx1"/>
            </w14:solidFill>
          </w14:textFill>
        </w:rPr>
      </w:pPr>
      <w:r>
        <w:rPr>
          <w:rFonts w:hint="default" w:ascii="Times New Roman" w:hAnsi="Times New Roman" w:cs="Times New Roman" w:eastAsiaTheme="minorEastAsia"/>
          <w:b/>
          <w:bCs w:val="0"/>
          <w:color w:val="000000" w:themeColor="text1"/>
          <w:lang w:eastAsia="zh-CN"/>
          <w14:textFill>
            <w14:solidFill>
              <w14:schemeClr w14:val="tx1"/>
            </w14:solidFill>
          </w14:textFill>
        </w:rPr>
        <w:drawing>
          <wp:anchor distT="0" distB="0" distL="114300" distR="114300" simplePos="0" relativeHeight="251679744" behindDoc="0" locked="0" layoutInCell="1" allowOverlap="1">
            <wp:simplePos x="0" y="0"/>
            <wp:positionH relativeFrom="column">
              <wp:posOffset>28575</wp:posOffset>
            </wp:positionH>
            <wp:positionV relativeFrom="paragraph">
              <wp:posOffset>40005</wp:posOffset>
            </wp:positionV>
            <wp:extent cx="5276850" cy="1430020"/>
            <wp:effectExtent l="0" t="0" r="0" b="17780"/>
            <wp:wrapSquare wrapText="bothSides"/>
            <wp:docPr id="2" name="图片 2" descr="1629269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269145(1)"/>
                    <pic:cNvPicPr>
                      <a:picLocks noChangeAspect="1"/>
                    </pic:cNvPicPr>
                  </pic:nvPicPr>
                  <pic:blipFill>
                    <a:blip r:embed="rId6"/>
                    <a:stretch>
                      <a:fillRect/>
                    </a:stretch>
                  </pic:blipFill>
                  <pic:spPr>
                    <a:xfrm>
                      <a:off x="0" y="0"/>
                      <a:ext cx="5276850" cy="1430020"/>
                    </a:xfrm>
                    <a:prstGeom prst="rect">
                      <a:avLst/>
                    </a:prstGeom>
                  </pic:spPr>
                </pic:pic>
              </a:graphicData>
            </a:graphic>
          </wp:anchor>
        </w:drawing>
      </w:r>
    </w:p>
    <w:p>
      <w:pPr>
        <w:widowControl/>
        <w:spacing w:line="360" w:lineRule="atLeast"/>
        <w:ind w:firstLine="480"/>
        <w:jc w:val="left"/>
        <w:rPr>
          <w:rFonts w:hint="default" w:ascii="Times New Roman" w:hAnsi="Times New Roman" w:eastAsia="微软雅黑" w:cs="Times New Roman"/>
          <w:b/>
          <w:bCs w:val="0"/>
          <w:color w:val="000000" w:themeColor="text1"/>
          <w:kern w:val="0"/>
          <w:sz w:val="23"/>
          <w:szCs w:val="23"/>
          <w:lang w:eastAsia="zh-CN"/>
          <w14:textFill>
            <w14:solidFill>
              <w14:schemeClr w14:val="tx1"/>
            </w14:solidFill>
          </w14:textFill>
        </w:rPr>
      </w:pPr>
      <w:r>
        <w:rPr>
          <w:rFonts w:hint="default" w:ascii="Times New Roman" w:hAnsi="Times New Roman" w:eastAsia="微软雅黑" w:cs="Times New Roman"/>
          <w:b/>
          <w:bCs w:val="0"/>
          <w:color w:val="000000" w:themeColor="text1"/>
          <w:kern w:val="0"/>
          <w:sz w:val="23"/>
          <w:szCs w:val="23"/>
          <w:lang w:eastAsia="zh-CN"/>
          <w14:textFill>
            <w14:solidFill>
              <w14:schemeClr w14:val="tx1"/>
            </w14:solidFill>
          </w14:textFill>
        </w:rPr>
        <w:drawing>
          <wp:anchor distT="0" distB="0" distL="114300" distR="114300" simplePos="0" relativeHeight="251666432" behindDoc="0" locked="0" layoutInCell="1" allowOverlap="1">
            <wp:simplePos x="0" y="0"/>
            <wp:positionH relativeFrom="column">
              <wp:posOffset>38100</wp:posOffset>
            </wp:positionH>
            <wp:positionV relativeFrom="paragraph">
              <wp:posOffset>1270</wp:posOffset>
            </wp:positionV>
            <wp:extent cx="5278120" cy="3907790"/>
            <wp:effectExtent l="0" t="0" r="17780" b="16510"/>
            <wp:wrapSquare wrapText="bothSides"/>
            <wp:docPr id="3" name="图片 3" descr="162926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9269204(1)"/>
                    <pic:cNvPicPr>
                      <a:picLocks noChangeAspect="1"/>
                    </pic:cNvPicPr>
                  </pic:nvPicPr>
                  <pic:blipFill>
                    <a:blip r:embed="rId7"/>
                    <a:srcRect t="2379"/>
                    <a:stretch>
                      <a:fillRect/>
                    </a:stretch>
                  </pic:blipFill>
                  <pic:spPr>
                    <a:xfrm>
                      <a:off x="0" y="0"/>
                      <a:ext cx="5278120" cy="3907790"/>
                    </a:xfrm>
                    <a:prstGeom prst="rect">
                      <a:avLst/>
                    </a:prstGeom>
                  </pic:spPr>
                </pic:pic>
              </a:graphicData>
            </a:graphic>
          </wp:anchor>
        </w:drawing>
      </w:r>
    </w:p>
    <w:p>
      <w:pPr>
        <w:widowControl/>
        <w:spacing w:line="360" w:lineRule="atLeast"/>
        <w:jc w:val="left"/>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47625</wp:posOffset>
            </wp:positionH>
            <wp:positionV relativeFrom="paragraph">
              <wp:posOffset>853440</wp:posOffset>
            </wp:positionV>
            <wp:extent cx="5253990" cy="1906270"/>
            <wp:effectExtent l="0" t="0" r="3810" b="17780"/>
            <wp:wrapSquare wrapText="bothSides"/>
            <wp:docPr id="11" name="图片 11" descr="5738585bea2f573a639c9526d173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738585bea2f573a639c9526d17351e"/>
                    <pic:cNvPicPr>
                      <a:picLocks noChangeAspect="1"/>
                    </pic:cNvPicPr>
                  </pic:nvPicPr>
                  <pic:blipFill>
                    <a:blip r:embed="rId8"/>
                    <a:srcRect r="313" b="16750"/>
                    <a:stretch>
                      <a:fillRect/>
                    </a:stretch>
                  </pic:blipFill>
                  <pic:spPr>
                    <a:xfrm>
                      <a:off x="0" y="0"/>
                      <a:ext cx="5253990" cy="1906270"/>
                    </a:xfrm>
                    <a:prstGeom prst="rect">
                      <a:avLst/>
                    </a:prstGeom>
                  </pic:spPr>
                </pic:pic>
              </a:graphicData>
            </a:graphic>
          </wp:anchor>
        </w:drawing>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输入单位编码和密码或者利用市场局电子营业执照APP扫码登录，在【首页】【缴费基数申报】功能菜单中进行操作。</w:t>
      </w:r>
    </w:p>
    <w:p>
      <w:pPr>
        <w:widowControl/>
        <w:spacing w:before="255" w:after="255"/>
        <w:jc w:val="left"/>
        <w:outlineLvl w:val="1"/>
        <w:rPr>
          <w:rFonts w:hint="default" w:ascii="Times New Roman" w:hAnsi="Times New Roman" w:eastAsia="黑体" w:cs="Times New Roman"/>
          <w:b/>
          <w:bCs w:val="0"/>
          <w:color w:val="000000" w:themeColor="text1"/>
          <w:kern w:val="0"/>
          <w:sz w:val="32"/>
          <w:szCs w:val="32"/>
          <w14:textFill>
            <w14:solidFill>
              <w14:schemeClr w14:val="tx1"/>
            </w14:solidFill>
          </w14:textFill>
        </w:rPr>
      </w:pPr>
      <w:r>
        <w:rPr>
          <w:rFonts w:hint="default" w:ascii="Times New Roman" w:hAnsi="Times New Roman" w:eastAsia="黑体" w:cs="Times New Roman"/>
          <w:b/>
          <w:bCs w:val="0"/>
          <w:color w:val="000000" w:themeColor="text1"/>
          <w:kern w:val="0"/>
          <w:sz w:val="32"/>
          <w:szCs w:val="32"/>
          <w14:textFill>
            <w14:solidFill>
              <w14:schemeClr w14:val="tx1"/>
            </w14:solidFill>
          </w14:textFill>
        </w:rPr>
        <w:t>二、操作方法</w:t>
      </w:r>
    </w:p>
    <w:p>
      <w:pPr>
        <w:widowControl/>
        <w:spacing w:line="360" w:lineRule="atLeast"/>
        <w:jc w:val="left"/>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点击缴费基数申报后，进入下列界面,按步骤操作。</w:t>
      </w:r>
    </w:p>
    <w:p>
      <w:pPr>
        <w:widowControl/>
        <w:spacing w:before="255" w:after="255"/>
        <w:jc w:val="left"/>
        <w:outlineLvl w:val="2"/>
        <w:rPr>
          <w:rFonts w:hint="default" w:ascii="Times New Roman" w:hAnsi="Times New Roman" w:eastAsia="宋体" w:cs="Times New Roman"/>
          <w:b/>
          <w:bCs w:val="0"/>
          <w:color w:val="000000" w:themeColor="text1"/>
          <w:kern w:val="0"/>
          <w:sz w:val="29"/>
          <w:szCs w:val="29"/>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drawing>
          <wp:anchor distT="0" distB="0" distL="0" distR="0" simplePos="0" relativeHeight="251663360" behindDoc="0" locked="0" layoutInCell="1" allowOverlap="1">
            <wp:simplePos x="0" y="0"/>
            <wp:positionH relativeFrom="column">
              <wp:posOffset>38100</wp:posOffset>
            </wp:positionH>
            <wp:positionV relativeFrom="paragraph">
              <wp:posOffset>40005</wp:posOffset>
            </wp:positionV>
            <wp:extent cx="4970145" cy="2271395"/>
            <wp:effectExtent l="0" t="0" r="1905" b="146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970145" cy="2271395"/>
                    </a:xfrm>
                    <a:prstGeom prst="rect">
                      <a:avLst/>
                    </a:prstGeom>
                  </pic:spPr>
                </pic:pic>
              </a:graphicData>
            </a:graphic>
          </wp:anchor>
        </w:drawing>
      </w:r>
    </w:p>
    <w:p>
      <w:pPr>
        <w:widowControl/>
        <w:spacing w:before="255" w:after="255"/>
        <w:jc w:val="left"/>
        <w:outlineLvl w:val="2"/>
        <w:rPr>
          <w:rFonts w:hint="default" w:ascii="Times New Roman" w:hAnsi="Times New Roman" w:eastAsia="宋体" w:cs="Times New Roman"/>
          <w:b/>
          <w:bCs w:val="0"/>
          <w:color w:val="000000" w:themeColor="text1"/>
          <w:kern w:val="0"/>
          <w:sz w:val="29"/>
          <w:szCs w:val="29"/>
          <w14:textFill>
            <w14:solidFill>
              <w14:schemeClr w14:val="tx1"/>
            </w14:solidFill>
          </w14:textFill>
        </w:rPr>
      </w:pPr>
    </w:p>
    <w:p>
      <w:pPr>
        <w:widowControl/>
        <w:spacing w:before="255" w:after="255"/>
        <w:jc w:val="left"/>
        <w:outlineLvl w:val="2"/>
        <w:rPr>
          <w:rFonts w:hint="default" w:ascii="Times New Roman" w:hAnsi="Times New Roman" w:eastAsia="宋体" w:cs="Times New Roman"/>
          <w:b/>
          <w:bCs w:val="0"/>
          <w:color w:val="000000" w:themeColor="text1"/>
          <w:kern w:val="0"/>
          <w:sz w:val="29"/>
          <w:szCs w:val="29"/>
          <w14:textFill>
            <w14:solidFill>
              <w14:schemeClr w14:val="tx1"/>
            </w14:solidFill>
          </w14:textFill>
        </w:rPr>
      </w:pPr>
    </w:p>
    <w:p>
      <w:pPr>
        <w:widowControl/>
        <w:spacing w:before="255" w:after="255"/>
        <w:jc w:val="left"/>
        <w:outlineLvl w:val="2"/>
        <w:rPr>
          <w:rFonts w:hint="default" w:ascii="Times New Roman" w:hAnsi="Times New Roman" w:eastAsia="宋体" w:cs="Times New Roman"/>
          <w:b/>
          <w:bCs w:val="0"/>
          <w:color w:val="000000" w:themeColor="text1"/>
          <w:kern w:val="0"/>
          <w:sz w:val="29"/>
          <w:szCs w:val="29"/>
          <w14:textFill>
            <w14:solidFill>
              <w14:schemeClr w14:val="tx1"/>
            </w14:solidFill>
          </w14:textFill>
        </w:rPr>
      </w:pPr>
    </w:p>
    <w:p>
      <w:pPr>
        <w:widowControl/>
        <w:spacing w:before="255" w:after="255"/>
        <w:jc w:val="left"/>
        <w:outlineLvl w:val="2"/>
        <w:rPr>
          <w:rFonts w:hint="default" w:ascii="Times New Roman" w:hAnsi="Times New Roman" w:eastAsia="宋体" w:cs="Times New Roman"/>
          <w:b/>
          <w:bCs w:val="0"/>
          <w:color w:val="000000" w:themeColor="text1"/>
          <w:kern w:val="0"/>
          <w:sz w:val="29"/>
          <w:szCs w:val="29"/>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drawing>
          <wp:anchor distT="0" distB="0" distL="0" distR="0" simplePos="0" relativeHeight="251695104" behindDoc="0" locked="0" layoutInCell="1" allowOverlap="1">
            <wp:simplePos x="0" y="0"/>
            <wp:positionH relativeFrom="column">
              <wp:posOffset>38735</wp:posOffset>
            </wp:positionH>
            <wp:positionV relativeFrom="paragraph">
              <wp:posOffset>201930</wp:posOffset>
            </wp:positionV>
            <wp:extent cx="5006975" cy="2611120"/>
            <wp:effectExtent l="0" t="0" r="3175" b="1778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006975" cy="2611120"/>
                    </a:xfrm>
                    <a:prstGeom prst="rect">
                      <a:avLst/>
                    </a:prstGeom>
                  </pic:spPr>
                </pic:pic>
              </a:graphicData>
            </a:graphic>
          </wp:anchor>
        </w:drawing>
      </w:r>
    </w:p>
    <w:p>
      <w:pPr>
        <w:widowControl/>
        <w:spacing w:line="360" w:lineRule="atLeast"/>
        <w:ind w:firstLine="480"/>
        <w:jc w:val="left"/>
        <w:rPr>
          <w:rFonts w:hint="default" w:ascii="Times New Roman" w:hAnsi="Times New Roman" w:eastAsia="黑体" w:cs="Times New Roman"/>
          <w:b/>
          <w:bCs w:val="0"/>
          <w:color w:val="000000" w:themeColor="text1"/>
          <w:kern w:val="0"/>
          <w:sz w:val="29"/>
          <w:szCs w:val="29"/>
          <w14:textFill>
            <w14:solidFill>
              <w14:schemeClr w14:val="tx1"/>
            </w14:solidFill>
          </w14:textFill>
        </w:rPr>
      </w:pPr>
    </w:p>
    <w:p>
      <w:pPr>
        <w:widowControl/>
        <w:spacing w:line="360" w:lineRule="atLeast"/>
        <w:ind w:firstLine="480"/>
        <w:jc w:val="left"/>
        <w:rPr>
          <w:rFonts w:hint="default" w:ascii="Times New Roman" w:hAnsi="Times New Roman" w:eastAsia="黑体" w:cs="Times New Roman"/>
          <w:b/>
          <w:bCs w:val="0"/>
          <w:color w:val="000000" w:themeColor="text1"/>
          <w:kern w:val="0"/>
          <w:sz w:val="29"/>
          <w:szCs w:val="29"/>
          <w14:textFill>
            <w14:solidFill>
              <w14:schemeClr w14:val="tx1"/>
            </w14:solidFill>
          </w14:textFill>
        </w:rPr>
      </w:pPr>
    </w:p>
    <w:p>
      <w:pPr>
        <w:widowControl/>
        <w:spacing w:line="360" w:lineRule="atLeast"/>
        <w:ind w:firstLine="480"/>
        <w:jc w:val="left"/>
        <w:rPr>
          <w:rFonts w:hint="default" w:ascii="Times New Roman" w:hAnsi="Times New Roman" w:eastAsia="黑体" w:cs="Times New Roman"/>
          <w:b/>
          <w:bCs w:val="0"/>
          <w:color w:val="000000" w:themeColor="text1"/>
          <w:kern w:val="0"/>
          <w:sz w:val="29"/>
          <w:szCs w:val="29"/>
          <w14:textFill>
            <w14:solidFill>
              <w14:schemeClr w14:val="tx1"/>
            </w14:solidFill>
          </w14:textFill>
        </w:rPr>
      </w:pPr>
    </w:p>
    <w:p>
      <w:pPr>
        <w:widowControl/>
        <w:spacing w:line="360" w:lineRule="atLeast"/>
        <w:ind w:firstLine="480"/>
        <w:jc w:val="left"/>
        <w:rPr>
          <w:rFonts w:hint="default" w:ascii="Times New Roman" w:hAnsi="Times New Roman" w:eastAsia="黑体" w:cs="Times New Roman"/>
          <w:b/>
          <w:bCs w:val="0"/>
          <w:color w:val="000000" w:themeColor="text1"/>
          <w:kern w:val="0"/>
          <w:sz w:val="29"/>
          <w:szCs w:val="29"/>
          <w14:textFill>
            <w14:solidFill>
              <w14:schemeClr w14:val="tx1"/>
            </w14:solidFill>
          </w14:textFill>
        </w:rPr>
      </w:pPr>
    </w:p>
    <w:p>
      <w:pPr>
        <w:widowControl/>
        <w:spacing w:line="360" w:lineRule="atLeast"/>
        <w:ind w:firstLine="480"/>
        <w:jc w:val="left"/>
        <w:rPr>
          <w:rFonts w:hint="default" w:ascii="Times New Roman" w:hAnsi="Times New Roman" w:eastAsia="黑体" w:cs="Times New Roman"/>
          <w:b/>
          <w:bCs w:val="0"/>
          <w:color w:val="000000" w:themeColor="text1"/>
          <w:kern w:val="0"/>
          <w:sz w:val="29"/>
          <w:szCs w:val="29"/>
          <w14:textFill>
            <w14:solidFill>
              <w14:schemeClr w14:val="tx1"/>
            </w14:solidFill>
          </w14:textFill>
        </w:rPr>
      </w:pPr>
    </w:p>
    <w:p>
      <w:pPr>
        <w:widowControl/>
        <w:spacing w:line="360" w:lineRule="atLeast"/>
        <w:ind w:firstLine="480"/>
        <w:jc w:val="left"/>
        <w:rPr>
          <w:rFonts w:hint="default" w:ascii="Times New Roman" w:hAnsi="Times New Roman" w:cs="Times New Roman"/>
          <w:b/>
          <w:bCs w:val="0"/>
          <w:color w:val="000000" w:themeColor="text1"/>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drawing>
          <wp:anchor distT="0" distB="0" distL="0" distR="0" simplePos="0" relativeHeight="251693056" behindDoc="0" locked="0" layoutInCell="1" allowOverlap="1">
            <wp:simplePos x="0" y="0"/>
            <wp:positionH relativeFrom="column">
              <wp:posOffset>151765</wp:posOffset>
            </wp:positionH>
            <wp:positionV relativeFrom="paragraph">
              <wp:posOffset>2576830</wp:posOffset>
            </wp:positionV>
            <wp:extent cx="5274310" cy="3092450"/>
            <wp:effectExtent l="0" t="0" r="2540" b="1270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4310" cy="3092450"/>
                    </a:xfrm>
                    <a:prstGeom prst="rect">
                      <a:avLst/>
                    </a:prstGeom>
                  </pic:spPr>
                </pic:pic>
              </a:graphicData>
            </a:graphic>
          </wp:anchor>
        </w:drawing>
      </w:r>
      <w:r>
        <w:rPr>
          <w:rFonts w:hint="default" w:ascii="Times New Roman" w:hAnsi="Times New Roman" w:cs="Times New Roman"/>
          <w:b/>
          <w:bCs w:val="0"/>
          <w:color w:val="000000" w:themeColor="text1"/>
          <w14:textFill>
            <w14:solidFill>
              <w14:schemeClr w14:val="tx1"/>
            </w14:solidFill>
          </w14:textFill>
        </w:rPr>
        <w:drawing>
          <wp:anchor distT="0" distB="0" distL="0" distR="0" simplePos="0" relativeHeight="251694080" behindDoc="0" locked="0" layoutInCell="1" allowOverlap="1">
            <wp:simplePos x="0" y="0"/>
            <wp:positionH relativeFrom="column">
              <wp:posOffset>114300</wp:posOffset>
            </wp:positionH>
            <wp:positionV relativeFrom="paragraph">
              <wp:posOffset>7620</wp:posOffset>
            </wp:positionV>
            <wp:extent cx="5274310" cy="2228850"/>
            <wp:effectExtent l="0" t="0" r="254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74310" cy="2228850"/>
                    </a:xfrm>
                    <a:prstGeom prst="rect">
                      <a:avLst/>
                    </a:prstGeom>
                  </pic:spPr>
                </pic:pic>
              </a:graphicData>
            </a:graphic>
          </wp:anchor>
        </w:drawing>
      </w:r>
    </w:p>
    <w:p>
      <w:pPr>
        <w:widowControl/>
        <w:spacing w:line="360" w:lineRule="atLeast"/>
        <w:ind w:firstLine="480"/>
        <w:jc w:val="left"/>
        <w:rPr>
          <w:rFonts w:hint="default" w:ascii="Times New Roman" w:hAnsi="Times New Roman" w:cs="Times New Roman"/>
          <w:b/>
          <w:bCs w:val="0"/>
          <w:color w:val="000000" w:themeColor="text1"/>
          <w14:textFill>
            <w14:solidFill>
              <w14:schemeClr w14:val="tx1"/>
            </w14:solidFill>
          </w14:textFill>
        </w:rPr>
      </w:pPr>
    </w:p>
    <w:p>
      <w:pPr>
        <w:widowControl/>
        <w:spacing w:line="360" w:lineRule="atLeast"/>
        <w:ind w:firstLine="480"/>
        <w:jc w:val="left"/>
        <w:rPr>
          <w:rFonts w:hint="default" w:ascii="Times New Roman" w:hAnsi="Times New Roman" w:cs="Times New Roman"/>
          <w:b/>
          <w:bCs w:val="0"/>
          <w:color w:val="000000" w:themeColor="text1"/>
          <w14:textFill>
            <w14:solidFill>
              <w14:schemeClr w14:val="tx1"/>
            </w14:solidFill>
          </w14:textFill>
        </w:rPr>
      </w:pPr>
    </w:p>
    <w:p>
      <w:pPr>
        <w:widowControl/>
        <w:spacing w:line="360" w:lineRule="atLeast"/>
        <w:ind w:firstLine="480"/>
        <w:jc w:val="left"/>
        <w:rPr>
          <w:rFonts w:hint="default" w:ascii="Times New Roman" w:hAnsi="Times New Roman" w:cs="Times New Roman"/>
          <w:b/>
          <w:bCs w:val="0"/>
          <w:color w:val="000000" w:themeColor="text1"/>
          <w14:textFill>
            <w14:solidFill>
              <w14:schemeClr w14:val="tx1"/>
            </w14:solidFill>
          </w14:textFill>
        </w:rPr>
      </w:pPr>
      <w:r>
        <w:rPr>
          <w:rFonts w:hint="default" w:ascii="Times New Roman" w:hAnsi="Times New Roman" w:cs="Times New Roman"/>
          <w:b/>
          <w:bCs w:val="0"/>
          <w:color w:val="000000" w:themeColor="text1"/>
          <w14:textFill>
            <w14:solidFill>
              <w14:schemeClr w14:val="tx1"/>
            </w14:solidFill>
          </w14:textFill>
        </w:rPr>
        <w:drawing>
          <wp:anchor distT="0" distB="0" distL="0" distR="0" simplePos="0" relativeHeight="251660288" behindDoc="0" locked="0" layoutInCell="1" allowOverlap="1">
            <wp:simplePos x="0" y="0"/>
            <wp:positionH relativeFrom="column">
              <wp:posOffset>228600</wp:posOffset>
            </wp:positionH>
            <wp:positionV relativeFrom="paragraph">
              <wp:posOffset>34290</wp:posOffset>
            </wp:positionV>
            <wp:extent cx="5274310" cy="3058795"/>
            <wp:effectExtent l="0" t="0" r="2540" b="825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4310" cy="3058795"/>
                    </a:xfrm>
                    <a:prstGeom prst="rect">
                      <a:avLst/>
                    </a:prstGeom>
                  </pic:spPr>
                </pic:pic>
              </a:graphicData>
            </a:graphic>
          </wp:anchor>
        </w:drawing>
      </w:r>
    </w:p>
    <w:p>
      <w:pPr>
        <w:widowControl/>
        <w:spacing w:line="360" w:lineRule="atLeast"/>
        <w:ind w:firstLine="480"/>
        <w:jc w:val="left"/>
        <w:rPr>
          <w:rFonts w:hint="default" w:ascii="Times New Roman" w:hAnsi="Times New Roman" w:cs="Times New Roman"/>
          <w:b/>
          <w:bCs w:val="0"/>
          <w:color w:val="000000" w:themeColor="text1"/>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sectPr>
          <w:footerReference r:id="rId3" w:type="default"/>
          <w:pgSz w:w="11906" w:h="16838"/>
          <w:pgMar w:top="1984" w:right="1474" w:bottom="1417" w:left="1587" w:header="851" w:footer="397" w:gutter="0"/>
          <w:pgNumType w:fmt="decimal"/>
          <w:cols w:space="425" w:num="1"/>
          <w:docGrid w:type="lines" w:linePitch="312" w:charSpace="0"/>
        </w:sect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tbl>
      <w:tblPr>
        <w:tblStyle w:val="6"/>
        <w:tblpPr w:leftFromText="180" w:rightFromText="180" w:vertAnchor="text" w:horzAnchor="page" w:tblpX="1550" w:tblpY="1785"/>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1" w:type="dxa"/>
            <w:tcBorders>
              <w:left w:val="nil"/>
              <w:right w:val="nil"/>
            </w:tcBorders>
          </w:tcPr>
          <w:p>
            <w:pPr>
              <w:widowControl/>
              <w:spacing w:line="360" w:lineRule="atLeast"/>
              <w:jc w:val="left"/>
              <w:rPr>
                <w:rFonts w:hint="default" w:ascii="Times New Roman" w:hAnsi="Times New Roman" w:eastAsia="仿宋" w:cs="Times New Roman"/>
                <w:b/>
                <w:bCs w:val="0"/>
                <w:color w:val="000000" w:themeColor="text1"/>
                <w:kern w:val="0"/>
                <w:sz w:val="32"/>
                <w:szCs w:val="32"/>
                <w:vertAlign w:val="baseline"/>
                <w:lang w:val="en-US" w:eastAsia="zh-CN"/>
                <w14:textFill>
                  <w14:solidFill>
                    <w14:schemeClr w14:val="tx1"/>
                  </w14:solidFill>
                </w14:textFill>
              </w:rPr>
            </w:pPr>
            <w:r>
              <w:rPr>
                <w:rFonts w:hint="default" w:ascii="Times New Roman" w:hAnsi="Times New Roman" w:eastAsia="仿宋" w:cs="Times New Roman"/>
                <w:b/>
                <w:bCs w:val="0"/>
                <w:color w:val="000000" w:themeColor="text1"/>
                <w:kern w:val="0"/>
                <w:sz w:val="32"/>
                <w:szCs w:val="32"/>
                <w:vertAlign w:val="baseline"/>
                <w:lang w:val="en-US" w:eastAsia="zh-CN"/>
                <w14:textFill>
                  <w14:solidFill>
                    <w14:schemeClr w14:val="tx1"/>
                  </w14:solidFill>
                </w14:textFill>
              </w:rPr>
              <w:t>济宁市医疗保险事业中心            2021年8月18日印发</w:t>
            </w:r>
          </w:p>
        </w:tc>
      </w:tr>
    </w:tbl>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p>
      <w:pPr>
        <w:widowControl/>
        <w:spacing w:line="360" w:lineRule="atLeast"/>
        <w:jc w:val="left"/>
        <w:rPr>
          <w:rFonts w:hint="default" w:ascii="Times New Roman" w:hAnsi="Times New Roman" w:eastAsia="黑体" w:cs="Times New Roman"/>
          <w:b/>
          <w:bCs w:val="0"/>
          <w:color w:val="000000" w:themeColor="text1"/>
          <w:kern w:val="0"/>
          <w:sz w:val="32"/>
          <w:szCs w:val="32"/>
          <w:lang w:val="en-US" w:eastAsia="zh-CN"/>
          <w14:textFill>
            <w14:solidFill>
              <w14:schemeClr w14:val="tx1"/>
            </w14:solidFill>
          </w14:textFill>
        </w:rPr>
      </w:pPr>
    </w:p>
    <w:sectPr>
      <w:footerReference r:id="rId4" w:type="default"/>
      <w:pgSz w:w="11906" w:h="16838"/>
      <w:pgMar w:top="1984" w:right="1474" w:bottom="1417" w:left="1587"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eastAsia" w:ascii="仿宋" w:hAnsi="仿宋" w:eastAsia="仿宋" w:cs="仿宋"/>
                              <w:lang w:eastAsia="zh-CN"/>
                            </w:rPr>
                            <w:t xml:space="preserve">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eastAsia" w:ascii="仿宋" w:hAnsi="仿宋" w:eastAsia="仿宋" w:cs="仿宋"/>
                        <w:lang w:eastAsia="zh-CN"/>
                      </w:rPr>
                      <w:t xml:space="preserve"> </w:t>
                    </w: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r>
                      <w:rPr>
                        <w:rFonts w:hint="eastAsia" w:ascii="仿宋" w:hAnsi="仿宋" w:eastAsia="仿宋" w:cs="仿宋"/>
                        <w:lang w:eastAsia="zh-CN"/>
                      </w:rPr>
                      <w:t xml:space="preserve"> </w:t>
                    </w:r>
                    <w:r>
                      <w:rPr>
                        <w:rFonts w:hint="eastAsia"/>
                        <w:lang w:eastAsia="zh-CN"/>
                      </w:rPr>
                      <w:t>—</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CB"/>
    <w:rsid w:val="000058F3"/>
    <w:rsid w:val="000325C0"/>
    <w:rsid w:val="00034B5C"/>
    <w:rsid w:val="00035F72"/>
    <w:rsid w:val="00067D6B"/>
    <w:rsid w:val="000928C3"/>
    <w:rsid w:val="000A1306"/>
    <w:rsid w:val="000C5362"/>
    <w:rsid w:val="001174D4"/>
    <w:rsid w:val="00136DB1"/>
    <w:rsid w:val="00184D72"/>
    <w:rsid w:val="00194C28"/>
    <w:rsid w:val="001F5B62"/>
    <w:rsid w:val="002424BD"/>
    <w:rsid w:val="00242FB8"/>
    <w:rsid w:val="00294E78"/>
    <w:rsid w:val="002A423B"/>
    <w:rsid w:val="002C0AB6"/>
    <w:rsid w:val="00320E9E"/>
    <w:rsid w:val="003E7561"/>
    <w:rsid w:val="00456789"/>
    <w:rsid w:val="004807D0"/>
    <w:rsid w:val="004C046A"/>
    <w:rsid w:val="004D6ADE"/>
    <w:rsid w:val="00541C68"/>
    <w:rsid w:val="00573689"/>
    <w:rsid w:val="0059526C"/>
    <w:rsid w:val="005E71F6"/>
    <w:rsid w:val="005F66CC"/>
    <w:rsid w:val="0060438B"/>
    <w:rsid w:val="0063294F"/>
    <w:rsid w:val="006342C4"/>
    <w:rsid w:val="0065459C"/>
    <w:rsid w:val="006B729D"/>
    <w:rsid w:val="006D559B"/>
    <w:rsid w:val="006F4E5F"/>
    <w:rsid w:val="007A66EC"/>
    <w:rsid w:val="007A7DED"/>
    <w:rsid w:val="007E20EA"/>
    <w:rsid w:val="00807E27"/>
    <w:rsid w:val="00820522"/>
    <w:rsid w:val="00843309"/>
    <w:rsid w:val="00855722"/>
    <w:rsid w:val="008759C1"/>
    <w:rsid w:val="00881E1B"/>
    <w:rsid w:val="008C1181"/>
    <w:rsid w:val="008D7A68"/>
    <w:rsid w:val="008F1627"/>
    <w:rsid w:val="00950B16"/>
    <w:rsid w:val="009537B5"/>
    <w:rsid w:val="009D6DBC"/>
    <w:rsid w:val="00A3620D"/>
    <w:rsid w:val="00B52DDF"/>
    <w:rsid w:val="00BB36AC"/>
    <w:rsid w:val="00BC2E81"/>
    <w:rsid w:val="00BE6CCB"/>
    <w:rsid w:val="00BF2966"/>
    <w:rsid w:val="00C544EE"/>
    <w:rsid w:val="00C618C6"/>
    <w:rsid w:val="00CD7980"/>
    <w:rsid w:val="00D06EA6"/>
    <w:rsid w:val="00D423E5"/>
    <w:rsid w:val="00DC127E"/>
    <w:rsid w:val="00DF3D38"/>
    <w:rsid w:val="00E03F92"/>
    <w:rsid w:val="00E07EF2"/>
    <w:rsid w:val="00E819A3"/>
    <w:rsid w:val="00EE2975"/>
    <w:rsid w:val="00EF63FF"/>
    <w:rsid w:val="00F02A26"/>
    <w:rsid w:val="00F04FAA"/>
    <w:rsid w:val="00F529F0"/>
    <w:rsid w:val="00F624CB"/>
    <w:rsid w:val="00F71D76"/>
    <w:rsid w:val="00F73A31"/>
    <w:rsid w:val="00FC1F93"/>
    <w:rsid w:val="00FE7AAF"/>
    <w:rsid w:val="00FF4A50"/>
    <w:rsid w:val="00FF76EF"/>
    <w:rsid w:val="02383234"/>
    <w:rsid w:val="04255BA0"/>
    <w:rsid w:val="07D05927"/>
    <w:rsid w:val="0D25424C"/>
    <w:rsid w:val="0EBA55ED"/>
    <w:rsid w:val="0EE579F3"/>
    <w:rsid w:val="0FCF1782"/>
    <w:rsid w:val="129520A1"/>
    <w:rsid w:val="13EE4F1E"/>
    <w:rsid w:val="14540128"/>
    <w:rsid w:val="187F2759"/>
    <w:rsid w:val="1E9E4C4F"/>
    <w:rsid w:val="1EAA7E1F"/>
    <w:rsid w:val="214E0146"/>
    <w:rsid w:val="217B22A8"/>
    <w:rsid w:val="245B1E17"/>
    <w:rsid w:val="255B066E"/>
    <w:rsid w:val="274B79DC"/>
    <w:rsid w:val="2A7A0255"/>
    <w:rsid w:val="2BCC5E65"/>
    <w:rsid w:val="2C1F466D"/>
    <w:rsid w:val="2E292857"/>
    <w:rsid w:val="2EA15C11"/>
    <w:rsid w:val="2F0B7DE5"/>
    <w:rsid w:val="31D83134"/>
    <w:rsid w:val="32ED35B0"/>
    <w:rsid w:val="33DB0701"/>
    <w:rsid w:val="348C3D04"/>
    <w:rsid w:val="3A592E49"/>
    <w:rsid w:val="3CE95189"/>
    <w:rsid w:val="3D91271F"/>
    <w:rsid w:val="44696014"/>
    <w:rsid w:val="4674761D"/>
    <w:rsid w:val="46F4014B"/>
    <w:rsid w:val="48273E6F"/>
    <w:rsid w:val="4CBB0881"/>
    <w:rsid w:val="4E1D57FA"/>
    <w:rsid w:val="50871100"/>
    <w:rsid w:val="53D5589F"/>
    <w:rsid w:val="56F1168E"/>
    <w:rsid w:val="57897E67"/>
    <w:rsid w:val="5B1E307F"/>
    <w:rsid w:val="5C1521DA"/>
    <w:rsid w:val="61BF02B6"/>
    <w:rsid w:val="62B306CF"/>
    <w:rsid w:val="635E4B3B"/>
    <w:rsid w:val="69047C18"/>
    <w:rsid w:val="696613CA"/>
    <w:rsid w:val="6C8F2F75"/>
    <w:rsid w:val="6D55209C"/>
    <w:rsid w:val="6D6F12C2"/>
    <w:rsid w:val="6E302D58"/>
    <w:rsid w:val="6F477DF9"/>
    <w:rsid w:val="722C4BDA"/>
    <w:rsid w:val="72882674"/>
    <w:rsid w:val="72C64563"/>
    <w:rsid w:val="74F06209"/>
    <w:rsid w:val="764E0DD4"/>
    <w:rsid w:val="7770466D"/>
    <w:rsid w:val="7A7D3840"/>
    <w:rsid w:val="7AC832D1"/>
    <w:rsid w:val="7B9F70DA"/>
    <w:rsid w:val="7BB424CF"/>
    <w:rsid w:val="7CF82349"/>
    <w:rsid w:val="7F524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Words>
  <Characters>1866</Characters>
  <Lines>15</Lines>
  <Paragraphs>4</Paragraphs>
  <TotalTime>0</TotalTime>
  <ScaleCrop>false</ScaleCrop>
  <LinksUpToDate>false</LinksUpToDate>
  <CharactersWithSpaces>2189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2020-04-12T03:51:00Z</dcterms:created>
  <dc:creator>lenovo</dc:creator>
  <cp:lastModifiedBy>Xcc</cp:lastModifiedBy>
  <cp:lastPrinted>2021-08-18T07:39:00Z</cp:lastPrinted>
  <dcterms:modified xsi:type="dcterms:W3CDTF">2021-08-23T02:26:22Z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