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44"/>
          <w:szCs w:val="44"/>
          <w:lang w:eastAsia="zh-CN"/>
        </w:rPr>
      </w:pPr>
      <w:bookmarkStart w:id="0" w:name="_GoBack"/>
      <w:bookmarkEnd w:id="0"/>
    </w:p>
    <w:p>
      <w:pPr>
        <w:adjustRightInd w:val="0"/>
        <w:snapToGrid w:val="0"/>
        <w:spacing w:line="600" w:lineRule="exact"/>
        <w:jc w:val="center"/>
        <w:rPr>
          <w:rFonts w:hint="default" w:eastAsia="方正小标宋简体" w:cs="方正小标宋简体"/>
          <w:b/>
          <w:bCs/>
          <w:color w:val="000000"/>
          <w:kern w:val="0"/>
          <w:sz w:val="44"/>
          <w:szCs w:val="44"/>
          <w:lang w:val="en-US" w:bidi="zh-CN"/>
        </w:rPr>
      </w:pPr>
      <w:r>
        <w:rPr>
          <w:rFonts w:hint="eastAsia" w:eastAsia="方正小标宋简体" w:cs="方正小标宋简体"/>
          <w:b/>
          <w:bCs/>
          <w:color w:val="000000"/>
          <w:kern w:val="0"/>
          <w:sz w:val="44"/>
          <w:szCs w:val="44"/>
          <w:lang w:val="en-US" w:bidi="zh-CN"/>
        </w:rPr>
        <w:t>济宁市医疗保障局</w:t>
      </w:r>
    </w:p>
    <w:p>
      <w:pPr>
        <w:jc w:val="both"/>
        <w:rPr>
          <w:rFonts w:hint="eastAsia" w:ascii="方正小标宋简体" w:hAnsi="方正小标宋简体" w:eastAsia="方正小标宋简体" w:cs="方正小标宋简体"/>
          <w:b/>
          <w:bCs/>
          <w:sz w:val="44"/>
          <w:szCs w:val="44"/>
          <w:lang w:eastAsia="zh-CN"/>
        </w:rPr>
      </w:pPr>
      <w:r>
        <w:rPr>
          <w:rFonts w:hint="eastAsia" w:eastAsia="方正小标宋简体" w:cs="方正小标宋简体"/>
          <w:b/>
          <w:bCs/>
          <w:color w:val="000000"/>
          <w:kern w:val="0"/>
          <w:sz w:val="44"/>
          <w:szCs w:val="44"/>
          <w:lang w:bidi="zh-CN"/>
        </w:rPr>
        <w:t>《</w:t>
      </w:r>
      <w:r>
        <w:rPr>
          <w:rFonts w:hint="eastAsia" w:ascii="方正小标宋简体" w:hAnsi="方正小标宋简体" w:eastAsia="方正小标宋简体" w:cs="方正小标宋简体"/>
          <w:b/>
          <w:bCs/>
          <w:sz w:val="44"/>
          <w:szCs w:val="44"/>
          <w:lang w:eastAsia="zh-CN"/>
        </w:rPr>
        <w:t>关于提高居民基本医疗保险门诊慢性病</w:t>
      </w:r>
    </w:p>
    <w:p>
      <w:pPr>
        <w:jc w:val="center"/>
        <w:rPr>
          <w:rFonts w:hint="default" w:eastAsia="方正小标宋简体" w:cs="方正小标宋简体"/>
          <w:b/>
          <w:bCs/>
          <w:color w:val="000000"/>
          <w:kern w:val="0"/>
          <w:sz w:val="44"/>
          <w:szCs w:val="44"/>
          <w:lang w:val="en-US" w:bidi="zh-CN"/>
        </w:rPr>
      </w:pPr>
      <w:r>
        <w:rPr>
          <w:rFonts w:hint="eastAsia" w:ascii="方正小标宋简体" w:hAnsi="方正小标宋简体" w:eastAsia="方正小标宋简体" w:cs="方正小标宋简体"/>
          <w:b/>
          <w:bCs/>
          <w:sz w:val="44"/>
          <w:szCs w:val="44"/>
          <w:lang w:eastAsia="zh-CN"/>
        </w:rPr>
        <w:t>支付限额的通知</w:t>
      </w:r>
      <w:r>
        <w:rPr>
          <w:rFonts w:hint="eastAsia" w:eastAsia="方正小标宋简体" w:cs="方正小标宋简体"/>
          <w:b/>
          <w:bCs/>
          <w:color w:val="000000"/>
          <w:kern w:val="0"/>
          <w:sz w:val="44"/>
          <w:szCs w:val="44"/>
          <w:lang w:bidi="zh-CN"/>
        </w:rPr>
        <w:t>》</w:t>
      </w:r>
      <w:r>
        <w:rPr>
          <w:rFonts w:hint="eastAsia" w:eastAsia="方正小标宋简体" w:cs="方正小标宋简体"/>
          <w:b/>
          <w:bCs/>
          <w:color w:val="000000"/>
          <w:kern w:val="0"/>
          <w:sz w:val="44"/>
          <w:szCs w:val="44"/>
          <w:lang w:val="en-US" w:bidi="zh-CN"/>
        </w:rPr>
        <w:t>政策解读</w:t>
      </w:r>
    </w:p>
    <w:p>
      <w:pPr>
        <w:pStyle w:val="6"/>
        <w:numPr>
          <w:ilvl w:val="0"/>
          <w:numId w:val="0"/>
        </w:numPr>
        <w:ind w:firstLine="643" w:firstLineChars="200"/>
        <w:rPr>
          <w:rFonts w:hint="eastAsia" w:ascii="Times New Roman" w:hAnsi="Times New Roman" w:eastAsia="仿宋_GB2312" w:cs="Times New Roman"/>
          <w:b/>
          <w:color w:val="auto"/>
          <w:sz w:val="32"/>
          <w:szCs w:val="32"/>
          <w:u w:val="none"/>
          <w:lang w:eastAsia="zh-CN"/>
        </w:rPr>
      </w:pPr>
      <w:r>
        <w:rPr>
          <w:rFonts w:hint="eastAsia" w:ascii="Times New Roman" w:hAnsi="Times New Roman" w:eastAsia="方正黑体简体" w:cs="方正黑体简体"/>
          <w:b/>
          <w:bCs/>
          <w:snapToGrid w:val="0"/>
          <w:kern w:val="0"/>
          <w:sz w:val="32"/>
          <w:szCs w:val="32"/>
          <w:lang w:val="en-US" w:eastAsia="zh-CN"/>
        </w:rPr>
        <w:t>一、</w:t>
      </w:r>
      <w:r>
        <w:rPr>
          <w:rFonts w:hint="eastAsia" w:ascii="方正黑体简体" w:hAnsi="Tahoma" w:eastAsia="方正黑体简体" w:cs="Tahoma"/>
          <w:b/>
          <w:color w:val="000000"/>
          <w:sz w:val="32"/>
          <w:szCs w:val="32"/>
          <w:lang w:val="en-US" w:eastAsia="zh-CN"/>
        </w:rPr>
        <w:t>提高门诊慢性病最高支付限额的必要性</w:t>
      </w:r>
    </w:p>
    <w:p>
      <w:pPr>
        <w:pStyle w:val="6"/>
        <w:numPr>
          <w:ilvl w:val="0"/>
          <w:numId w:val="0"/>
        </w:numPr>
        <w:ind w:firstLine="643" w:firstLineChars="200"/>
        <w:rPr>
          <w:rFonts w:hint="eastAsia" w:ascii="Times New Roman" w:hAnsi="Times New Roman" w:eastAsia="方正仿宋简体" w:cs="方正仿宋简体"/>
          <w:b/>
          <w:bCs/>
          <w:color w:val="000000"/>
          <w:kern w:val="0"/>
          <w:sz w:val="32"/>
          <w:szCs w:val="32"/>
          <w:lang w:val="en-US" w:eastAsia="zh-CN" w:bidi="ar-SA"/>
        </w:rPr>
      </w:pPr>
      <w:r>
        <w:rPr>
          <w:rFonts w:hint="eastAsia" w:ascii="Times New Roman" w:hAnsi="Times New Roman" w:eastAsia="方正仿宋简体" w:cs="方正仿宋简体"/>
          <w:b/>
          <w:bCs/>
          <w:color w:val="000000"/>
          <w:kern w:val="0"/>
          <w:sz w:val="32"/>
          <w:szCs w:val="32"/>
          <w:lang w:val="en-US" w:eastAsia="zh-CN" w:bidi="ar-SA"/>
        </w:rPr>
        <w:t>随着经济社会不断发展，医疗水平的不断提高，</w:t>
      </w:r>
      <w:r>
        <w:rPr>
          <w:rFonts w:hint="eastAsia" w:ascii="Times New Roman" w:hAnsi="Times New Roman" w:eastAsia="方正仿宋简体" w:cs="方正仿宋简体"/>
          <w:b/>
          <w:bCs/>
          <w:sz w:val="32"/>
          <w:szCs w:val="32"/>
        </w:rPr>
        <w:t>新药和新医疗技术的使用</w:t>
      </w:r>
      <w:r>
        <w:rPr>
          <w:rFonts w:hint="eastAsia" w:eastAsia="方正仿宋简体" w:cs="方正仿宋简体"/>
          <w:b/>
          <w:bCs/>
          <w:sz w:val="32"/>
          <w:szCs w:val="32"/>
          <w:lang w:eastAsia="zh-CN"/>
        </w:rPr>
        <w:t>，</w:t>
      </w:r>
      <w:r>
        <w:rPr>
          <w:rFonts w:hint="eastAsia" w:ascii="Times New Roman" w:hAnsi="Times New Roman" w:eastAsia="方正仿宋简体" w:cs="方正仿宋简体"/>
          <w:b/>
          <w:bCs/>
          <w:color w:val="000000"/>
          <w:kern w:val="0"/>
          <w:sz w:val="32"/>
          <w:szCs w:val="32"/>
          <w:lang w:val="en-US" w:eastAsia="zh-CN" w:bidi="ar-SA"/>
        </w:rPr>
        <w:t>参保人员对医疗的需求越来越高，</w:t>
      </w:r>
      <w:r>
        <w:rPr>
          <w:rFonts w:hint="eastAsia" w:ascii="Times New Roman" w:hAnsi="Times New Roman" w:eastAsia="方正仿宋简体" w:cs="方正仿宋简体"/>
          <w:b/>
          <w:bCs/>
          <w:sz w:val="32"/>
          <w:szCs w:val="32"/>
        </w:rPr>
        <w:t>群众健康意识的增强</w:t>
      </w:r>
      <w:r>
        <w:rPr>
          <w:rFonts w:hint="eastAsia" w:eastAsia="方正仿宋简体" w:cs="方正仿宋简体"/>
          <w:b/>
          <w:bCs/>
          <w:sz w:val="32"/>
          <w:szCs w:val="32"/>
          <w:lang w:eastAsia="zh-CN"/>
        </w:rPr>
        <w:t>，</w:t>
      </w:r>
      <w:r>
        <w:rPr>
          <w:rFonts w:hint="eastAsia" w:ascii="Times New Roman" w:hAnsi="Times New Roman" w:eastAsia="方正仿宋简体" w:cs="方正仿宋简体"/>
          <w:b/>
          <w:bCs/>
          <w:sz w:val="32"/>
          <w:szCs w:val="32"/>
        </w:rPr>
        <w:t>导致</w:t>
      </w:r>
      <w:r>
        <w:rPr>
          <w:rFonts w:hint="eastAsia" w:eastAsia="方正仿宋简体" w:cs="方正仿宋简体"/>
          <w:b/>
          <w:bCs/>
          <w:sz w:val="32"/>
          <w:szCs w:val="32"/>
          <w:lang w:val="en-US" w:eastAsia="zh-CN"/>
        </w:rPr>
        <w:t>医疗费用不断增加，</w:t>
      </w:r>
      <w:r>
        <w:rPr>
          <w:rFonts w:hint="eastAsia" w:ascii="Times New Roman" w:hAnsi="Times New Roman" w:eastAsia="方正仿宋简体" w:cs="方正仿宋简体"/>
          <w:b/>
          <w:bCs/>
          <w:color w:val="000000"/>
          <w:kern w:val="0"/>
          <w:sz w:val="32"/>
          <w:szCs w:val="32"/>
          <w:lang w:val="en-US" w:eastAsia="zh-CN" w:bidi="ar-SA"/>
        </w:rPr>
        <w:t>稳步提高医保待遇，可以有效减轻广大参保人员的个人负担，增强他们的获得感</w:t>
      </w:r>
      <w:r>
        <w:rPr>
          <w:rFonts w:hint="eastAsia" w:eastAsia="方正仿宋简体" w:cs="方正仿宋简体"/>
          <w:b/>
          <w:bCs/>
          <w:color w:val="000000"/>
          <w:kern w:val="0"/>
          <w:sz w:val="32"/>
          <w:szCs w:val="32"/>
          <w:lang w:val="en-US" w:eastAsia="zh-CN" w:bidi="ar-SA"/>
        </w:rPr>
        <w:t>、幸福感</w:t>
      </w:r>
      <w:r>
        <w:rPr>
          <w:rFonts w:hint="eastAsia" w:ascii="Times New Roman" w:hAnsi="Times New Roman" w:eastAsia="方正仿宋简体" w:cs="方正仿宋简体"/>
          <w:b/>
          <w:bCs/>
          <w:color w:val="000000"/>
          <w:kern w:val="0"/>
          <w:sz w:val="32"/>
          <w:szCs w:val="32"/>
          <w:lang w:val="en-US" w:eastAsia="zh-CN" w:bidi="ar-SA"/>
        </w:rPr>
        <w:t>。</w:t>
      </w:r>
    </w:p>
    <w:p>
      <w:pPr>
        <w:pStyle w:val="2"/>
        <w:adjustRightInd w:val="0"/>
        <w:snapToGrid w:val="0"/>
        <w:spacing w:line="500" w:lineRule="exact"/>
        <w:ind w:firstLine="964" w:firstLineChars="300"/>
        <w:rPr>
          <w:rFonts w:hint="eastAsia"/>
          <w:lang w:eastAsia="zh-CN"/>
        </w:rPr>
      </w:pPr>
      <w:r>
        <w:rPr>
          <w:rFonts w:hint="eastAsia" w:ascii="Times New Roman" w:hAnsi="Times New Roman" w:eastAsia="方正黑体简体" w:cs="方正黑体简体"/>
          <w:b/>
          <w:bCs/>
          <w:snapToGrid w:val="0"/>
          <w:kern w:val="0"/>
          <w:sz w:val="32"/>
          <w:szCs w:val="32"/>
          <w:lang w:val="en-US" w:eastAsia="zh-CN" w:bidi="ar-SA"/>
        </w:rPr>
        <w:t>二、主要内容</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方正仿宋简体" w:cs="Times New Roman"/>
          <w:b/>
          <w:bCs/>
          <w:i w:val="0"/>
          <w:iCs w:val="0"/>
          <w:color w:val="000000"/>
          <w:spacing w:val="0"/>
          <w:w w:val="100"/>
          <w:sz w:val="32"/>
          <w:szCs w:val="32"/>
          <w:vertAlign w:val="baseline"/>
          <w:lang w:eastAsia="zh-CN"/>
        </w:rPr>
        <w:t>（一）</w:t>
      </w:r>
      <w:r>
        <w:rPr>
          <w:rFonts w:hint="default" w:ascii="Times New Roman" w:hAnsi="Times New Roman" w:eastAsia="方正仿宋简体" w:cs="Times New Roman"/>
          <w:b/>
          <w:bCs/>
          <w:i w:val="0"/>
          <w:iCs w:val="0"/>
          <w:color w:val="000000"/>
          <w:spacing w:val="0"/>
          <w:w w:val="100"/>
          <w:sz w:val="32"/>
          <w:szCs w:val="32"/>
          <w:vertAlign w:val="baseline"/>
        </w:rPr>
        <w:t>一个自然年度内，甲类病种</w:t>
      </w:r>
      <w:r>
        <w:rPr>
          <w:rFonts w:hint="eastAsia" w:eastAsia="方正仿宋简体" w:cs="Times New Roman"/>
          <w:b/>
          <w:bCs/>
          <w:i w:val="0"/>
          <w:iCs w:val="0"/>
          <w:color w:val="000000"/>
          <w:spacing w:val="0"/>
          <w:w w:val="100"/>
          <w:sz w:val="32"/>
          <w:szCs w:val="32"/>
          <w:vertAlign w:val="baseline"/>
          <w:lang w:eastAsia="zh-CN"/>
        </w:rPr>
        <w:t>基本</w:t>
      </w:r>
      <w:r>
        <w:rPr>
          <w:rFonts w:hint="default" w:ascii="Times New Roman" w:hAnsi="Times New Roman" w:eastAsia="方正仿宋简体" w:cs="Times New Roman"/>
          <w:b/>
          <w:bCs/>
          <w:i w:val="0"/>
          <w:iCs w:val="0"/>
          <w:color w:val="000000"/>
          <w:spacing w:val="0"/>
          <w:w w:val="100"/>
          <w:sz w:val="32"/>
          <w:szCs w:val="32"/>
          <w:vertAlign w:val="baseline"/>
        </w:rPr>
        <w:t>医疗保险基金最高支付限额为15万元，乙类病种最高支付限额为6000元。</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方正仿宋简体" w:cs="Times New Roman"/>
          <w:b/>
          <w:bCs/>
          <w:i w:val="0"/>
          <w:iCs w:val="0"/>
          <w:color w:val="000000"/>
          <w:spacing w:val="0"/>
          <w:w w:val="100"/>
          <w:sz w:val="32"/>
          <w:szCs w:val="32"/>
          <w:vertAlign w:val="baseline"/>
          <w:lang w:eastAsia="zh-CN"/>
        </w:rPr>
        <w:t>（二）</w:t>
      </w:r>
      <w:r>
        <w:rPr>
          <w:rFonts w:hint="default" w:ascii="Times New Roman" w:hAnsi="Times New Roman" w:eastAsia="仿宋_GB2312" w:cs="Times New Roman"/>
          <w:b/>
          <w:bCs/>
          <w:i w:val="0"/>
          <w:iCs w:val="0"/>
          <w:color w:val="000000"/>
          <w:spacing w:val="0"/>
          <w:w w:val="100"/>
          <w:sz w:val="32"/>
          <w:szCs w:val="32"/>
          <w:vertAlign w:val="baseline"/>
        </w:rPr>
        <w:t>同时患甲类和乙类慢</w:t>
      </w:r>
      <w:r>
        <w:rPr>
          <w:rFonts w:hint="default" w:ascii="Times New Roman" w:hAnsi="Times New Roman" w:eastAsia="仿宋_GB2312" w:cs="Times New Roman"/>
          <w:b/>
          <w:bCs/>
          <w:i w:val="0"/>
          <w:iCs w:val="0"/>
          <w:color w:val="000000"/>
          <w:spacing w:val="0"/>
          <w:w w:val="100"/>
          <w:sz w:val="32"/>
          <w:szCs w:val="32"/>
          <w:vertAlign w:val="baseline"/>
          <w:lang w:eastAsia="zh-CN"/>
        </w:rPr>
        <w:t>性</w:t>
      </w:r>
      <w:r>
        <w:rPr>
          <w:rFonts w:hint="default" w:ascii="Times New Roman" w:hAnsi="Times New Roman" w:eastAsia="仿宋_GB2312" w:cs="Times New Roman"/>
          <w:b/>
          <w:bCs/>
          <w:i w:val="0"/>
          <w:iCs w:val="0"/>
          <w:color w:val="000000"/>
          <w:spacing w:val="0"/>
          <w:w w:val="100"/>
          <w:sz w:val="32"/>
          <w:szCs w:val="32"/>
          <w:vertAlign w:val="baseline"/>
        </w:rPr>
        <w:t>病的，按甲类病种支付比例，</w:t>
      </w:r>
      <w:r>
        <w:rPr>
          <w:rFonts w:hint="default" w:ascii="Times New Roman" w:hAnsi="Times New Roman" w:eastAsia="方正仿宋简体" w:cs="Times New Roman"/>
          <w:b/>
          <w:bCs/>
          <w:i w:val="0"/>
          <w:iCs w:val="0"/>
          <w:color w:val="000000"/>
          <w:spacing w:val="0"/>
          <w:w w:val="100"/>
          <w:sz w:val="32"/>
          <w:szCs w:val="32"/>
          <w:vertAlign w:val="baseline"/>
        </w:rPr>
        <w:t>一个自然年度内，</w:t>
      </w:r>
      <w:r>
        <w:rPr>
          <w:rFonts w:hint="eastAsia" w:eastAsia="方正仿宋简体" w:cs="Times New Roman"/>
          <w:b/>
          <w:bCs/>
          <w:i w:val="0"/>
          <w:iCs w:val="0"/>
          <w:color w:val="000000"/>
          <w:spacing w:val="0"/>
          <w:w w:val="100"/>
          <w:sz w:val="32"/>
          <w:szCs w:val="32"/>
          <w:vertAlign w:val="baseline"/>
          <w:lang w:eastAsia="zh-CN"/>
        </w:rPr>
        <w:t>基本</w:t>
      </w:r>
      <w:r>
        <w:rPr>
          <w:rFonts w:hint="default" w:ascii="Times New Roman" w:hAnsi="Times New Roman" w:eastAsia="方正仿宋简体" w:cs="Times New Roman"/>
          <w:b/>
          <w:bCs/>
          <w:i w:val="0"/>
          <w:iCs w:val="0"/>
          <w:color w:val="000000"/>
          <w:spacing w:val="0"/>
          <w:w w:val="100"/>
          <w:sz w:val="32"/>
          <w:szCs w:val="32"/>
          <w:vertAlign w:val="baseline"/>
        </w:rPr>
        <w:t>医疗保险基金</w:t>
      </w:r>
      <w:r>
        <w:rPr>
          <w:rFonts w:hint="default" w:ascii="Times New Roman" w:hAnsi="Times New Roman" w:eastAsia="仿宋_GB2312" w:cs="Times New Roman"/>
          <w:b/>
          <w:bCs/>
          <w:i w:val="0"/>
          <w:iCs w:val="0"/>
          <w:color w:val="000000"/>
          <w:spacing w:val="0"/>
          <w:w w:val="100"/>
          <w:sz w:val="32"/>
          <w:szCs w:val="32"/>
          <w:vertAlign w:val="baseline"/>
        </w:rPr>
        <w:t>最高支付限额为</w:t>
      </w:r>
      <w:r>
        <w:rPr>
          <w:rFonts w:hint="default" w:ascii="Times New Roman" w:hAnsi="Times New Roman" w:eastAsia="方正仿宋简体" w:cs="Times New Roman"/>
          <w:b/>
          <w:bCs/>
          <w:i w:val="0"/>
          <w:iCs w:val="0"/>
          <w:color w:val="000000"/>
          <w:spacing w:val="0"/>
          <w:w w:val="100"/>
          <w:sz w:val="32"/>
          <w:szCs w:val="32"/>
          <w:vertAlign w:val="baseline"/>
        </w:rPr>
        <w:t>15</w:t>
      </w:r>
      <w:r>
        <w:rPr>
          <w:rFonts w:hint="default" w:ascii="Times New Roman" w:hAnsi="Times New Roman" w:eastAsia="仿宋_GB2312" w:cs="Times New Roman"/>
          <w:b/>
          <w:bCs/>
          <w:i w:val="0"/>
          <w:iCs w:val="0"/>
          <w:color w:val="000000"/>
          <w:spacing w:val="0"/>
          <w:w w:val="100"/>
          <w:sz w:val="32"/>
          <w:szCs w:val="32"/>
          <w:vertAlign w:val="baseline"/>
        </w:rPr>
        <w:t>万元。</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方正仿宋简体" w:cs="Times New Roman"/>
          <w:b/>
          <w:bCs/>
          <w:i w:val="0"/>
          <w:iCs w:val="0"/>
          <w:color w:val="000000"/>
          <w:spacing w:val="0"/>
          <w:w w:val="100"/>
          <w:sz w:val="32"/>
          <w:szCs w:val="32"/>
          <w:vertAlign w:val="baseline"/>
          <w:lang w:eastAsia="zh-CN"/>
        </w:rPr>
        <w:t>（三）</w:t>
      </w:r>
      <w:r>
        <w:rPr>
          <w:rFonts w:hint="default" w:ascii="Times New Roman" w:hAnsi="Times New Roman" w:eastAsia="方正仿宋简体" w:cs="Times New Roman"/>
          <w:b/>
          <w:bCs/>
          <w:i w:val="0"/>
          <w:iCs w:val="0"/>
          <w:color w:val="000000"/>
          <w:spacing w:val="0"/>
          <w:w w:val="100"/>
          <w:sz w:val="32"/>
          <w:szCs w:val="32"/>
          <w:vertAlign w:val="baseline"/>
        </w:rPr>
        <w:t>一个自然年度内，耐多药结核和广泛耐药结核门诊慢性病医疗保险基金年度最高支付限额与住院合并计算。</w:t>
      </w:r>
    </w:p>
    <w:p>
      <w:pPr>
        <w:pStyle w:val="9"/>
        <w:ind w:left="0" w:leftChars="0" w:firstLine="643" w:firstLineChars="200"/>
        <w:rPr>
          <w:rFonts w:hint="default" w:eastAsia="方正仿宋简体"/>
          <w:lang w:val="en-US" w:eastAsia="zh-CN"/>
        </w:rPr>
      </w:pPr>
      <w:r>
        <w:rPr>
          <w:rFonts w:hint="eastAsia" w:eastAsia="方正仿宋简体" w:cs="Times New Roman"/>
          <w:b/>
          <w:bCs/>
          <w:i w:val="0"/>
          <w:iCs w:val="0"/>
          <w:color w:val="000000"/>
          <w:spacing w:val="0"/>
          <w:w w:val="100"/>
          <w:sz w:val="32"/>
          <w:szCs w:val="32"/>
          <w:vertAlign w:val="baseline"/>
          <w:lang w:eastAsia="zh-CN"/>
        </w:rPr>
        <w:t>（</w:t>
      </w:r>
      <w:r>
        <w:rPr>
          <w:rFonts w:hint="eastAsia" w:eastAsia="方正仿宋简体" w:cs="Times New Roman"/>
          <w:b/>
          <w:bCs/>
          <w:i w:val="0"/>
          <w:iCs w:val="0"/>
          <w:color w:val="000000"/>
          <w:spacing w:val="0"/>
          <w:w w:val="100"/>
          <w:sz w:val="32"/>
          <w:szCs w:val="32"/>
          <w:vertAlign w:val="baseline"/>
          <w:lang w:val="en-US" w:eastAsia="zh-CN"/>
        </w:rPr>
        <w:t>四</w:t>
      </w:r>
      <w:r>
        <w:rPr>
          <w:rFonts w:hint="eastAsia" w:eastAsia="方正仿宋简体" w:cs="Times New Roman"/>
          <w:b/>
          <w:bCs/>
          <w:i w:val="0"/>
          <w:iCs w:val="0"/>
          <w:color w:val="000000"/>
          <w:spacing w:val="0"/>
          <w:w w:val="100"/>
          <w:sz w:val="32"/>
          <w:szCs w:val="32"/>
          <w:vertAlign w:val="baseline"/>
          <w:lang w:eastAsia="zh-CN"/>
        </w:rPr>
        <w:t>）本通知自</w:t>
      </w:r>
      <w:r>
        <w:rPr>
          <w:rFonts w:hint="eastAsia" w:eastAsia="方正仿宋简体" w:cs="Times New Roman"/>
          <w:b/>
          <w:bCs/>
          <w:i w:val="0"/>
          <w:iCs w:val="0"/>
          <w:color w:val="000000"/>
          <w:spacing w:val="0"/>
          <w:w w:val="100"/>
          <w:sz w:val="32"/>
          <w:szCs w:val="32"/>
          <w:vertAlign w:val="baseline"/>
          <w:lang w:val="en-US" w:eastAsia="zh-CN"/>
        </w:rPr>
        <w:t>2022年12月1日执行。</w:t>
      </w:r>
    </w:p>
    <w:p>
      <w:pPr>
        <w:numPr>
          <w:ilvl w:val="0"/>
          <w:numId w:val="0"/>
        </w:numPr>
        <w:rPr>
          <w:rFonts w:hint="eastAsia"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 xml:space="preserve">                     </w:t>
      </w:r>
    </w:p>
    <w:p>
      <w:pPr>
        <w:numPr>
          <w:ilvl w:val="0"/>
          <w:numId w:val="0"/>
        </w:numPr>
      </w:pPr>
      <w:r>
        <w:rPr>
          <w:rFonts w:hint="eastAsia" w:eastAsia="方正仿宋简体" w:cs="Times New Roman"/>
          <w:b/>
          <w:bCs/>
          <w:snapToGrid w:val="0"/>
          <w:kern w:val="0"/>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8B5E9"/>
    <w:multiLevelType w:val="singleLevel"/>
    <w:tmpl w:val="7798B5E9"/>
    <w:lvl w:ilvl="0" w:tentative="0">
      <w:start w:val="1"/>
      <w:numFmt w:val="decimal"/>
      <w:pStyle w:val="3"/>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TZmMmI1NzY5NTMyOTVjZmRjNjQ3NmJjOGVhOTAifQ=="/>
  </w:docVars>
  <w:rsids>
    <w:rsidRoot w:val="5AD6772C"/>
    <w:rsid w:val="1262051F"/>
    <w:rsid w:val="2FBD3DF3"/>
    <w:rsid w:val="3459706E"/>
    <w:rsid w:val="47B37C53"/>
    <w:rsid w:val="54FF5A7F"/>
    <w:rsid w:val="5AD6772C"/>
    <w:rsid w:val="68F6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numPr>
        <w:ilvl w:val="0"/>
        <w:numId w:val="1"/>
      </w:numPr>
      <w:spacing w:beforeLines="0" w:beforeAutospacing="0" w:afterLines="0" w:afterAutospacing="0" w:line="560" w:lineRule="exact"/>
      <w:jc w:val="center"/>
      <w:outlineLvl w:val="0"/>
    </w:pPr>
    <w:rPr>
      <w:rFonts w:ascii="Times New Roman" w:hAnsi="Times New Roman" w:eastAsia="方正小标宋简体" w:cs="Times New Roman"/>
      <w:b/>
      <w:bCs/>
      <w:color w:val="auto"/>
      <w:kern w:val="44"/>
      <w:sz w:val="44"/>
      <w:szCs w:val="40"/>
      <w:u w:val="single"/>
      <w14:textFill>
        <w14:noFill/>
      </w14:textFill>
    </w:rPr>
  </w:style>
  <w:style w:type="paragraph" w:styleId="4">
    <w:name w:val="heading 2"/>
    <w:basedOn w:val="1"/>
    <w:next w:val="1"/>
    <w:qFormat/>
    <w:uiPriority w:val="9"/>
    <w:pPr>
      <w:keepNext/>
      <w:keepLines/>
      <w:spacing w:before="100" w:beforeAutospacing="1" w:after="100" w:afterAutospacing="1" w:line="360" w:lineRule="auto"/>
      <w:ind w:firstLine="643" w:firstLineChars="200"/>
      <w:outlineLvl w:val="1"/>
    </w:pPr>
    <w:rPr>
      <w:rFonts w:ascii="仿宋_GB2312" w:hAnsi="Times New Roman" w:eastAsia="楷体_GB2312" w:cs="Times New Roman"/>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sz w:val="32"/>
      <w:szCs w:val="32"/>
      <w:lang w:val="zh-CN" w:bidi="zh-CN"/>
    </w:rPr>
  </w:style>
  <w:style w:type="paragraph" w:styleId="5">
    <w:name w:val="Body Text Indent"/>
    <w:basedOn w:val="1"/>
    <w:qFormat/>
    <w:uiPriority w:val="99"/>
    <w:pPr>
      <w:spacing w:line="360" w:lineRule="auto"/>
      <w:ind w:left="520"/>
    </w:pPr>
    <w:rPr>
      <w:kern w:val="0"/>
      <w:sz w:val="24"/>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437</Characters>
  <Lines>0</Lines>
  <Paragraphs>0</Paragraphs>
  <TotalTime>1</TotalTime>
  <ScaleCrop>false</ScaleCrop>
  <LinksUpToDate>false</LinksUpToDate>
  <CharactersWithSpaces>517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2022-11-14T00:55:00Z</dcterms:created>
  <dc:creator>丸子</dc:creator>
  <cp:lastModifiedBy>admin</cp:lastModifiedBy>
  <cp:lastPrinted>2022-11-23T02:45:00Z</cp:lastPrinted>
  <dcterms:modified xsi:type="dcterms:W3CDTF">2023-02-01T02:44:12Z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F30AA6D8C8CE40669601287E834AA3B0</vt:lpwstr>
  </property>
</Properties>
</file>