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509"/>
        <w:spacing w:before="57" w:line="222" w:lineRule="auto"/>
        <w:outlineLvl w:val="0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2"/>
        </w:rPr>
        <w:t>济宁市职工医疗保险待遇一览表</w:t>
      </w:r>
    </w:p>
    <w:p>
      <w:pPr>
        <w:ind w:left="3600"/>
        <w:spacing w:before="10" w:line="400" w:lineRule="exact"/>
        <w:outlineLvl w:val="0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6"/>
          <w:position w:val="2"/>
        </w:rPr>
        <w:t>（2025年7月）</w:t>
      </w:r>
    </w:p>
    <w:p>
      <w:pPr>
        <w:spacing w:line="120" w:lineRule="exact"/>
        <w:rPr/>
      </w:pPr>
      <w:r/>
    </w:p>
    <w:tbl>
      <w:tblPr>
        <w:tblStyle w:val="TableNormal"/>
        <w:tblW w:w="912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7"/>
        <w:gridCol w:w="1278"/>
        <w:gridCol w:w="1707"/>
        <w:gridCol w:w="1536"/>
        <w:gridCol w:w="4078"/>
      </w:tblGrid>
      <w:tr>
        <w:trPr>
          <w:trHeight w:val="328" w:hRule="atLeast"/>
        </w:trPr>
        <w:tc>
          <w:tcPr>
            <w:tcW w:w="5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102" w:right="90" w:firstLine="1"/>
              <w:spacing w:before="53" w:line="231" w:lineRule="auto"/>
              <w:jc w:val="both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</w:rPr>
              <w:t>基本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z w:val="16"/>
                <w:szCs w:val="16"/>
                <w:spacing w:val="1"/>
              </w:rPr>
              <w:t>医疗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z w:val="16"/>
                <w:szCs w:val="16"/>
                <w:spacing w:val="1"/>
              </w:rPr>
              <w:t>保险</w:t>
            </w:r>
          </w:p>
        </w:tc>
        <w:tc>
          <w:tcPr>
            <w:tcW w:w="127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476"/>
              <w:spacing w:before="52" w:line="226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"/>
              </w:rPr>
              <w:t>住院</w:t>
            </w:r>
          </w:p>
        </w:tc>
        <w:tc>
          <w:tcPr>
            <w:tcW w:w="17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534"/>
              <w:spacing w:before="52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起付标准</w:t>
            </w:r>
          </w:p>
        </w:tc>
        <w:tc>
          <w:tcPr>
            <w:tcW w:w="1536" w:type="dxa"/>
            <w:vAlign w:val="top"/>
          </w:tcPr>
          <w:p>
            <w:pPr>
              <w:ind w:left="288"/>
              <w:spacing w:before="90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一级医疗机构</w:t>
            </w:r>
          </w:p>
        </w:tc>
        <w:tc>
          <w:tcPr>
            <w:tcW w:w="4078" w:type="dxa"/>
            <w:vAlign w:val="top"/>
          </w:tcPr>
          <w:p>
            <w:pPr>
              <w:ind w:left="1844"/>
              <w:spacing w:before="90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300元</w:t>
            </w:r>
          </w:p>
        </w:tc>
      </w:tr>
      <w:tr>
        <w:trPr>
          <w:trHeight w:val="335" w:hRule="atLeast"/>
        </w:trPr>
        <w:tc>
          <w:tcPr>
            <w:tcW w:w="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36" w:type="dxa"/>
            <w:vAlign w:val="top"/>
          </w:tcPr>
          <w:p>
            <w:pPr>
              <w:ind w:left="288"/>
              <w:spacing w:before="91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二级医疗机构</w:t>
            </w:r>
          </w:p>
        </w:tc>
        <w:tc>
          <w:tcPr>
            <w:tcW w:w="4078" w:type="dxa"/>
            <w:vAlign w:val="top"/>
          </w:tcPr>
          <w:p>
            <w:pPr>
              <w:ind w:left="1844"/>
              <w:spacing w:before="90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500元</w:t>
            </w:r>
          </w:p>
        </w:tc>
      </w:tr>
      <w:tr>
        <w:trPr>
          <w:trHeight w:val="335" w:hRule="atLeast"/>
        </w:trPr>
        <w:tc>
          <w:tcPr>
            <w:tcW w:w="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36" w:type="dxa"/>
            <w:vAlign w:val="top"/>
          </w:tcPr>
          <w:p>
            <w:pPr>
              <w:ind w:left="286"/>
              <w:spacing w:before="91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三级医疗机构</w:t>
            </w:r>
          </w:p>
        </w:tc>
        <w:tc>
          <w:tcPr>
            <w:tcW w:w="4078" w:type="dxa"/>
            <w:vAlign w:val="top"/>
          </w:tcPr>
          <w:p>
            <w:pPr>
              <w:ind w:left="1842"/>
              <w:spacing w:before="91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600元</w:t>
            </w:r>
          </w:p>
        </w:tc>
      </w:tr>
      <w:tr>
        <w:trPr>
          <w:trHeight w:val="434" w:hRule="atLeast"/>
        </w:trPr>
        <w:tc>
          <w:tcPr>
            <w:tcW w:w="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14" w:type="dxa"/>
            <w:vAlign w:val="top"/>
            <w:gridSpan w:val="2"/>
          </w:tcPr>
          <w:p>
            <w:pPr>
              <w:ind w:left="2528" w:right="22" w:hanging="2490"/>
              <w:spacing w:before="4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注：一个自然年度内第二次住院起付标准对应减半，第三次及以上住院起付标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准为0元</w:t>
            </w:r>
          </w:p>
        </w:tc>
      </w:tr>
      <w:tr>
        <w:trPr>
          <w:trHeight w:val="434" w:hRule="atLeast"/>
        </w:trPr>
        <w:tc>
          <w:tcPr>
            <w:tcW w:w="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532"/>
              <w:spacing w:before="52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报销比例</w:t>
            </w:r>
          </w:p>
        </w:tc>
        <w:tc>
          <w:tcPr>
            <w:tcW w:w="1536" w:type="dxa"/>
            <w:vAlign w:val="top"/>
          </w:tcPr>
          <w:p>
            <w:pPr>
              <w:ind w:left="288"/>
              <w:spacing w:before="143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一级医疗机构</w:t>
            </w:r>
          </w:p>
        </w:tc>
        <w:tc>
          <w:tcPr>
            <w:tcW w:w="4078" w:type="dxa"/>
            <w:vAlign w:val="top"/>
          </w:tcPr>
          <w:p>
            <w:pPr>
              <w:ind w:left="1062"/>
              <w:spacing w:before="142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在职职工90%、退休人员95%</w:t>
            </w:r>
          </w:p>
        </w:tc>
      </w:tr>
      <w:tr>
        <w:trPr>
          <w:trHeight w:val="448" w:hRule="atLeast"/>
        </w:trPr>
        <w:tc>
          <w:tcPr>
            <w:tcW w:w="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36" w:type="dxa"/>
            <w:vAlign w:val="top"/>
          </w:tcPr>
          <w:p>
            <w:pPr>
              <w:ind w:left="288"/>
              <w:spacing w:before="150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二级医疗机构</w:t>
            </w:r>
          </w:p>
        </w:tc>
        <w:tc>
          <w:tcPr>
            <w:tcW w:w="4078" w:type="dxa"/>
            <w:vAlign w:val="top"/>
          </w:tcPr>
          <w:p>
            <w:pPr>
              <w:ind w:left="1062"/>
              <w:spacing w:before="149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在职职工85%、退休人员90%</w:t>
            </w:r>
          </w:p>
        </w:tc>
      </w:tr>
      <w:tr>
        <w:trPr>
          <w:trHeight w:val="434" w:hRule="atLeast"/>
        </w:trPr>
        <w:tc>
          <w:tcPr>
            <w:tcW w:w="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36" w:type="dxa"/>
            <w:vAlign w:val="top"/>
          </w:tcPr>
          <w:p>
            <w:pPr>
              <w:ind w:left="286"/>
              <w:spacing w:before="143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三级医疗机构</w:t>
            </w:r>
          </w:p>
        </w:tc>
        <w:tc>
          <w:tcPr>
            <w:tcW w:w="4078" w:type="dxa"/>
            <w:vAlign w:val="top"/>
          </w:tcPr>
          <w:p>
            <w:pPr>
              <w:ind w:left="1062"/>
              <w:spacing w:before="142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在职职工85%、退休人员90%</w:t>
            </w:r>
          </w:p>
        </w:tc>
      </w:tr>
      <w:tr>
        <w:trPr>
          <w:trHeight w:val="467" w:hRule="atLeast"/>
        </w:trPr>
        <w:tc>
          <w:tcPr>
            <w:tcW w:w="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7" w:type="dxa"/>
            <w:vAlign w:val="top"/>
          </w:tcPr>
          <w:p>
            <w:pPr>
              <w:ind w:left="372"/>
              <w:spacing w:before="159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最高支付限额</w:t>
            </w:r>
          </w:p>
        </w:tc>
        <w:tc>
          <w:tcPr>
            <w:tcW w:w="5614" w:type="dxa"/>
            <w:vAlign w:val="top"/>
            <w:gridSpan w:val="2"/>
          </w:tcPr>
          <w:p>
            <w:pPr>
              <w:ind w:left="367"/>
              <w:spacing w:before="159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一个自然年度内，住院与门诊慢特病最高支付限额合并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计算为20万元</w:t>
            </w:r>
          </w:p>
        </w:tc>
      </w:tr>
      <w:tr>
        <w:trPr>
          <w:trHeight w:val="532" w:hRule="atLeast"/>
        </w:trPr>
        <w:tc>
          <w:tcPr>
            <w:tcW w:w="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238"/>
              <w:spacing w:before="52" w:line="225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2"/>
              </w:rPr>
              <w:t>门诊慢特病</w:t>
            </w:r>
          </w:p>
        </w:tc>
        <w:tc>
          <w:tcPr>
            <w:tcW w:w="17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74" w:lineRule="auto"/>
              <w:rPr/>
            </w:pPr>
            <w:r/>
          </w:p>
          <w:p>
            <w:pPr>
              <w:ind w:left="534"/>
              <w:spacing w:before="52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起付标准</w:t>
            </w:r>
          </w:p>
        </w:tc>
        <w:tc>
          <w:tcPr>
            <w:tcW w:w="5614" w:type="dxa"/>
            <w:vAlign w:val="top"/>
            <w:gridSpan w:val="2"/>
          </w:tcPr>
          <w:p>
            <w:pPr>
              <w:ind w:left="2577"/>
              <w:spacing w:before="191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1000元</w:t>
            </w:r>
          </w:p>
        </w:tc>
      </w:tr>
      <w:tr>
        <w:trPr>
          <w:trHeight w:val="664" w:hRule="atLeast"/>
        </w:trPr>
        <w:tc>
          <w:tcPr>
            <w:tcW w:w="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14" w:type="dxa"/>
            <w:vAlign w:val="top"/>
            <w:gridSpan w:val="2"/>
          </w:tcPr>
          <w:p>
            <w:pPr>
              <w:ind w:left="813" w:right="186" w:hanging="612"/>
              <w:spacing w:before="155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注：1.门诊慢特病中血友病、尿毒症、严重精神障碍治疗，不设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起付标准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2.门诊慢特病在中医医疗机构定点的，起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付标准为900元</w:t>
            </w:r>
          </w:p>
        </w:tc>
      </w:tr>
      <w:tr>
        <w:trPr>
          <w:trHeight w:val="549" w:hRule="atLeast"/>
        </w:trPr>
        <w:tc>
          <w:tcPr>
            <w:tcW w:w="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7" w:type="dxa"/>
            <w:vAlign w:val="top"/>
          </w:tcPr>
          <w:p>
            <w:pPr>
              <w:ind w:left="532"/>
              <w:spacing w:before="201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报销比例</w:t>
            </w:r>
          </w:p>
        </w:tc>
        <w:tc>
          <w:tcPr>
            <w:tcW w:w="5614" w:type="dxa"/>
            <w:vAlign w:val="top"/>
            <w:gridSpan w:val="2"/>
          </w:tcPr>
          <w:p>
            <w:pPr>
              <w:ind w:left="1646"/>
              <w:spacing w:before="201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甲类病种：85%</w:t>
            </w:r>
            <w:r>
              <w:rPr>
                <w:rFonts w:ascii="SimSun" w:hAnsi="SimSun" w:eastAsia="SimSun" w:cs="SimSun"/>
                <w:sz w:val="16"/>
                <w:szCs w:val="16"/>
                <w:spacing w:val="14"/>
              </w:rPr>
              <w:t xml:space="preserve">  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乙类病种：75%</w:t>
            </w:r>
          </w:p>
        </w:tc>
      </w:tr>
      <w:tr>
        <w:trPr>
          <w:trHeight w:val="565" w:hRule="atLeast"/>
        </w:trPr>
        <w:tc>
          <w:tcPr>
            <w:tcW w:w="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7" w:type="dxa"/>
            <w:vAlign w:val="top"/>
          </w:tcPr>
          <w:p>
            <w:pPr>
              <w:ind w:left="372"/>
              <w:spacing w:before="209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最高支付限额</w:t>
            </w:r>
          </w:p>
        </w:tc>
        <w:tc>
          <w:tcPr>
            <w:tcW w:w="5614" w:type="dxa"/>
            <w:vAlign w:val="top"/>
            <w:gridSpan w:val="2"/>
          </w:tcPr>
          <w:p>
            <w:pPr>
              <w:ind w:left="367"/>
              <w:spacing w:before="209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一个自然年度内，住院与门诊慢特病最高支付限额合并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计算为20万元</w:t>
            </w:r>
          </w:p>
        </w:tc>
      </w:tr>
      <w:tr>
        <w:trPr>
          <w:trHeight w:val="484" w:hRule="atLeast"/>
        </w:trPr>
        <w:tc>
          <w:tcPr>
            <w:tcW w:w="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313"/>
              <w:spacing w:before="52" w:line="225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2"/>
              </w:rPr>
              <w:t>普通门诊</w:t>
            </w:r>
          </w:p>
        </w:tc>
        <w:tc>
          <w:tcPr>
            <w:tcW w:w="17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44" w:lineRule="auto"/>
              <w:rPr/>
            </w:pPr>
            <w:r/>
          </w:p>
          <w:p>
            <w:pPr>
              <w:pStyle w:val="TableText"/>
              <w:spacing w:line="345" w:lineRule="auto"/>
              <w:rPr/>
            </w:pPr>
            <w:r/>
          </w:p>
          <w:p>
            <w:pPr>
              <w:ind w:left="534"/>
              <w:spacing w:before="52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起付标准</w:t>
            </w:r>
          </w:p>
        </w:tc>
        <w:tc>
          <w:tcPr>
            <w:tcW w:w="1536" w:type="dxa"/>
            <w:vAlign w:val="top"/>
          </w:tcPr>
          <w:p>
            <w:pPr>
              <w:ind w:left="43"/>
              <w:spacing w:before="170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一级及以下医疗机构</w:t>
            </w:r>
          </w:p>
        </w:tc>
        <w:tc>
          <w:tcPr>
            <w:tcW w:w="4078" w:type="dxa"/>
            <w:vAlign w:val="top"/>
          </w:tcPr>
          <w:p>
            <w:pPr>
              <w:ind w:left="1852"/>
              <w:spacing w:before="169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100元</w:t>
            </w:r>
          </w:p>
        </w:tc>
      </w:tr>
      <w:tr>
        <w:trPr>
          <w:trHeight w:val="448" w:hRule="atLeast"/>
        </w:trPr>
        <w:tc>
          <w:tcPr>
            <w:tcW w:w="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36" w:type="dxa"/>
            <w:vAlign w:val="top"/>
          </w:tcPr>
          <w:p>
            <w:pPr>
              <w:ind w:left="288"/>
              <w:spacing w:before="153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二级医疗机构</w:t>
            </w:r>
          </w:p>
        </w:tc>
        <w:tc>
          <w:tcPr>
            <w:tcW w:w="4078" w:type="dxa"/>
            <w:vAlign w:val="top"/>
          </w:tcPr>
          <w:p>
            <w:pPr>
              <w:ind w:left="1842"/>
              <w:spacing w:before="152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200元</w:t>
            </w:r>
          </w:p>
        </w:tc>
      </w:tr>
      <w:tr>
        <w:trPr>
          <w:trHeight w:val="369" w:hRule="atLeast"/>
        </w:trPr>
        <w:tc>
          <w:tcPr>
            <w:tcW w:w="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36" w:type="dxa"/>
            <w:vAlign w:val="top"/>
          </w:tcPr>
          <w:p>
            <w:pPr>
              <w:ind w:left="286"/>
              <w:spacing w:before="112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三级医疗机构</w:t>
            </w:r>
          </w:p>
        </w:tc>
        <w:tc>
          <w:tcPr>
            <w:tcW w:w="4078" w:type="dxa"/>
            <w:vAlign w:val="top"/>
          </w:tcPr>
          <w:p>
            <w:pPr>
              <w:ind w:left="1844"/>
              <w:spacing w:before="112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300元</w:t>
            </w:r>
          </w:p>
        </w:tc>
      </w:tr>
      <w:tr>
        <w:trPr>
          <w:trHeight w:val="302" w:hRule="atLeast"/>
        </w:trPr>
        <w:tc>
          <w:tcPr>
            <w:tcW w:w="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14" w:type="dxa"/>
            <w:vAlign w:val="top"/>
            <w:gridSpan w:val="2"/>
          </w:tcPr>
          <w:p>
            <w:pPr>
              <w:ind w:left="446"/>
              <w:spacing w:before="79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注：一个自然年度内，普通门诊的起付标准各级医疗机构累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计计算</w:t>
            </w:r>
          </w:p>
        </w:tc>
      </w:tr>
      <w:tr>
        <w:trPr>
          <w:trHeight w:val="302" w:hRule="atLeast"/>
        </w:trPr>
        <w:tc>
          <w:tcPr>
            <w:tcW w:w="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70" w:lineRule="auto"/>
              <w:rPr/>
            </w:pPr>
            <w:r/>
          </w:p>
          <w:p>
            <w:pPr>
              <w:ind w:left="532"/>
              <w:spacing w:before="52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报销比例</w:t>
            </w:r>
          </w:p>
        </w:tc>
        <w:tc>
          <w:tcPr>
            <w:tcW w:w="1536" w:type="dxa"/>
            <w:vAlign w:val="top"/>
          </w:tcPr>
          <w:p>
            <w:pPr>
              <w:ind w:left="43"/>
              <w:spacing w:before="79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一级及以下医疗机构</w:t>
            </w:r>
          </w:p>
        </w:tc>
        <w:tc>
          <w:tcPr>
            <w:tcW w:w="4078" w:type="dxa"/>
            <w:vAlign w:val="top"/>
          </w:tcPr>
          <w:p>
            <w:pPr>
              <w:ind w:left="1062"/>
              <w:spacing w:before="79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在职职工80%、退休人员85%</w:t>
            </w:r>
          </w:p>
        </w:tc>
      </w:tr>
      <w:tr>
        <w:trPr>
          <w:trHeight w:val="350" w:hRule="atLeast"/>
        </w:trPr>
        <w:tc>
          <w:tcPr>
            <w:tcW w:w="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36" w:type="dxa"/>
            <w:vAlign w:val="top"/>
          </w:tcPr>
          <w:p>
            <w:pPr>
              <w:ind w:left="288"/>
              <w:spacing w:before="103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二级医疗机构</w:t>
            </w:r>
          </w:p>
        </w:tc>
        <w:tc>
          <w:tcPr>
            <w:tcW w:w="4078" w:type="dxa"/>
            <w:vAlign w:val="top"/>
          </w:tcPr>
          <w:p>
            <w:pPr>
              <w:ind w:left="1062"/>
              <w:spacing w:before="103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在职职工70%、退休人员75%</w:t>
            </w:r>
          </w:p>
        </w:tc>
      </w:tr>
      <w:tr>
        <w:trPr>
          <w:trHeight w:val="321" w:hRule="atLeast"/>
        </w:trPr>
        <w:tc>
          <w:tcPr>
            <w:tcW w:w="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36" w:type="dxa"/>
            <w:vAlign w:val="top"/>
          </w:tcPr>
          <w:p>
            <w:pPr>
              <w:ind w:left="286"/>
              <w:spacing w:before="89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三级医疗机构</w:t>
            </w:r>
          </w:p>
        </w:tc>
        <w:tc>
          <w:tcPr>
            <w:tcW w:w="4078" w:type="dxa"/>
            <w:vAlign w:val="top"/>
          </w:tcPr>
          <w:p>
            <w:pPr>
              <w:ind w:left="1062"/>
              <w:spacing w:before="89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在职职工60%、退休人员65%</w:t>
            </w:r>
          </w:p>
        </w:tc>
      </w:tr>
      <w:tr>
        <w:trPr>
          <w:trHeight w:val="565" w:hRule="atLeast"/>
        </w:trPr>
        <w:tc>
          <w:tcPr>
            <w:tcW w:w="5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7" w:type="dxa"/>
            <w:vAlign w:val="top"/>
          </w:tcPr>
          <w:p>
            <w:pPr>
              <w:ind w:left="372"/>
              <w:spacing w:before="211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最高支付限额</w:t>
            </w:r>
          </w:p>
        </w:tc>
        <w:tc>
          <w:tcPr>
            <w:tcW w:w="5614" w:type="dxa"/>
            <w:vAlign w:val="top"/>
            <w:gridSpan w:val="2"/>
          </w:tcPr>
          <w:p>
            <w:pPr>
              <w:ind w:left="362"/>
              <w:spacing w:before="211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一个自然年度内，最高支付限额为在职职工4500元、退休人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员5500元</w:t>
            </w:r>
          </w:p>
        </w:tc>
      </w:tr>
      <w:tr>
        <w:trPr>
          <w:trHeight w:val="565" w:hRule="atLeast"/>
        </w:trPr>
        <w:tc>
          <w:tcPr>
            <w:tcW w:w="5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02" w:right="90"/>
              <w:spacing w:before="52" w:line="232" w:lineRule="auto"/>
              <w:jc w:val="both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"/>
              </w:rPr>
              <w:t>大额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z w:val="16"/>
                <w:szCs w:val="16"/>
                <w:spacing w:val="1"/>
              </w:rPr>
              <w:t>医疗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z w:val="16"/>
                <w:szCs w:val="16"/>
                <w:spacing w:val="1"/>
              </w:rPr>
              <w:t>费用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z w:val="16"/>
                <w:szCs w:val="16"/>
                <w:spacing w:val="1"/>
              </w:rPr>
              <w:t>补助</w:t>
            </w:r>
          </w:p>
        </w:tc>
        <w:tc>
          <w:tcPr>
            <w:tcW w:w="1278" w:type="dxa"/>
            <w:vAlign w:val="top"/>
          </w:tcPr>
          <w:p>
            <w:pPr>
              <w:ind w:left="481" w:right="54" w:hanging="420"/>
              <w:spacing w:before="112" w:line="229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4"/>
              </w:rPr>
              <w:t>超基本医保限额</w:t>
            </w:r>
            <w:r>
              <w:rPr>
                <w:rFonts w:ascii="SimHei" w:hAnsi="SimHei" w:eastAsia="SimHei" w:cs="SimHei"/>
                <w:sz w:val="16"/>
                <w:szCs w:val="16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16"/>
                <w:szCs w:val="16"/>
                <w:spacing w:val="-1"/>
              </w:rPr>
              <w:t>部分</w:t>
            </w:r>
          </w:p>
        </w:tc>
        <w:tc>
          <w:tcPr>
            <w:tcW w:w="7321" w:type="dxa"/>
            <w:vAlign w:val="top"/>
            <w:gridSpan w:val="3"/>
          </w:tcPr>
          <w:p>
            <w:pPr>
              <w:ind w:left="442"/>
              <w:spacing w:before="212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一个自然年度内，住院和门诊慢特病基本医保支付限额以上合规费用报销90%，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限额50万元</w:t>
            </w:r>
          </w:p>
        </w:tc>
      </w:tr>
      <w:tr>
        <w:trPr>
          <w:trHeight w:val="664" w:hRule="atLeast"/>
        </w:trPr>
        <w:tc>
          <w:tcPr>
            <w:tcW w:w="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ind w:left="146"/>
              <w:spacing w:before="263" w:line="225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4"/>
              </w:rPr>
              <w:t>个人负担部分</w:t>
            </w:r>
          </w:p>
        </w:tc>
        <w:tc>
          <w:tcPr>
            <w:tcW w:w="7321" w:type="dxa"/>
            <w:vAlign w:val="top"/>
            <w:gridSpan w:val="3"/>
          </w:tcPr>
          <w:p>
            <w:pPr>
              <w:ind w:left="75"/>
              <w:spacing w:before="263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一个自然年度内，对政策范围内个人负担费用超过2万元以上的部分，按照80%比例报销，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限额40万元</w:t>
            </w:r>
          </w:p>
        </w:tc>
      </w:tr>
      <w:tr>
        <w:trPr>
          <w:trHeight w:val="582" w:hRule="atLeast"/>
        </w:trPr>
        <w:tc>
          <w:tcPr>
            <w:tcW w:w="5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ind w:left="311"/>
              <w:spacing w:before="224" w:line="225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3"/>
              </w:rPr>
              <w:t>特药部分</w:t>
            </w:r>
          </w:p>
        </w:tc>
        <w:tc>
          <w:tcPr>
            <w:tcW w:w="7321" w:type="dxa"/>
            <w:vAlign w:val="top"/>
            <w:gridSpan w:val="3"/>
          </w:tcPr>
          <w:p>
            <w:pPr>
              <w:ind w:left="157"/>
              <w:spacing w:before="223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一个自然年度内，对省规定的特药范围内个人负担2万以上的部分，按照80%比例报销，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限额40万元</w:t>
            </w:r>
          </w:p>
        </w:tc>
      </w:tr>
      <w:tr>
        <w:trPr>
          <w:trHeight w:val="386" w:hRule="atLeast"/>
        </w:trPr>
        <w:tc>
          <w:tcPr>
            <w:tcW w:w="5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102" w:right="90"/>
              <w:spacing w:before="52" w:line="229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"/>
              </w:rPr>
              <w:t>生育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z w:val="16"/>
                <w:szCs w:val="16"/>
                <w:spacing w:val="1"/>
              </w:rPr>
              <w:t>保险</w:t>
            </w:r>
          </w:p>
        </w:tc>
        <w:tc>
          <w:tcPr>
            <w:tcW w:w="1278" w:type="dxa"/>
            <w:vAlign w:val="top"/>
          </w:tcPr>
          <w:p>
            <w:pPr>
              <w:ind w:left="228"/>
              <w:spacing w:before="126" w:line="226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4"/>
              </w:rPr>
              <w:t>产前检查费</w:t>
            </w:r>
          </w:p>
        </w:tc>
        <w:tc>
          <w:tcPr>
            <w:tcW w:w="7321" w:type="dxa"/>
            <w:vAlign w:val="top"/>
            <w:gridSpan w:val="3"/>
          </w:tcPr>
          <w:p>
            <w:pPr>
              <w:ind w:left="3430"/>
              <w:spacing w:before="125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1600元</w:t>
            </w:r>
          </w:p>
        </w:tc>
      </w:tr>
      <w:tr>
        <w:trPr>
          <w:trHeight w:val="386" w:hRule="atLeast"/>
        </w:trPr>
        <w:tc>
          <w:tcPr>
            <w:tcW w:w="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ind w:left="310"/>
              <w:spacing w:before="126" w:line="226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3"/>
              </w:rPr>
              <w:t>住院分娩</w:t>
            </w:r>
          </w:p>
        </w:tc>
        <w:tc>
          <w:tcPr>
            <w:tcW w:w="7321" w:type="dxa"/>
            <w:vAlign w:val="top"/>
            <w:gridSpan w:val="3"/>
          </w:tcPr>
          <w:p>
            <w:pPr>
              <w:ind w:left="2196"/>
              <w:spacing w:before="126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政策范围内住院分娩费用“个人零负担</w:t>
            </w:r>
            <w:r>
              <w:rPr>
                <w:rFonts w:ascii="SimSun" w:hAnsi="SimSun" w:eastAsia="SimSun" w:cs="SimSun"/>
                <w:sz w:val="16"/>
                <w:szCs w:val="16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”</w:t>
            </w:r>
          </w:p>
        </w:tc>
      </w:tr>
      <w:tr>
        <w:trPr>
          <w:trHeight w:val="532" w:hRule="atLeast"/>
        </w:trPr>
        <w:tc>
          <w:tcPr>
            <w:tcW w:w="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ind w:left="228" w:right="54" w:hanging="165"/>
              <w:spacing w:before="96" w:line="230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4"/>
              </w:rPr>
              <w:t>计划生育手术和</w:t>
            </w:r>
            <w:r>
              <w:rPr>
                <w:rFonts w:ascii="SimHei" w:hAnsi="SimHei" w:eastAsia="SimHei" w:cs="SimHei"/>
                <w:sz w:val="16"/>
                <w:szCs w:val="16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16"/>
                <w:szCs w:val="16"/>
                <w:spacing w:val="4"/>
              </w:rPr>
              <w:t>住院引流产</w:t>
            </w:r>
          </w:p>
        </w:tc>
        <w:tc>
          <w:tcPr>
            <w:tcW w:w="7321" w:type="dxa"/>
            <w:vAlign w:val="top"/>
            <w:gridSpan w:val="3"/>
          </w:tcPr>
          <w:p>
            <w:pPr>
              <w:ind w:left="2932"/>
              <w:spacing w:before="197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按病种实行限额结算</w:t>
            </w:r>
          </w:p>
        </w:tc>
      </w:tr>
      <w:tr>
        <w:trPr>
          <w:trHeight w:val="664" w:hRule="atLeast"/>
        </w:trPr>
        <w:tc>
          <w:tcPr>
            <w:tcW w:w="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ind w:left="475" w:right="54" w:hanging="411"/>
              <w:spacing w:before="163" w:line="230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4"/>
              </w:rPr>
              <w:t>其他住院生育医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z w:val="16"/>
                <w:szCs w:val="16"/>
                <w:spacing w:val="1"/>
              </w:rPr>
              <w:t>疗费</w:t>
            </w:r>
          </w:p>
        </w:tc>
        <w:tc>
          <w:tcPr>
            <w:tcW w:w="7321" w:type="dxa"/>
            <w:vAlign w:val="top"/>
            <w:gridSpan w:val="3"/>
          </w:tcPr>
          <w:p>
            <w:pPr>
              <w:ind w:left="3583" w:right="61" w:hanging="3508"/>
              <w:spacing w:before="162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其他符合规定的住院生育医疗费及妊娠、分娩期间一并治疗其他疾病的费用，按职工医保住院政策报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销</w:t>
            </w:r>
          </w:p>
        </w:tc>
      </w:tr>
      <w:tr>
        <w:trPr>
          <w:trHeight w:val="664" w:hRule="atLeast"/>
        </w:trPr>
        <w:tc>
          <w:tcPr>
            <w:tcW w:w="5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ind w:left="65"/>
              <w:spacing w:before="265" w:line="225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4"/>
              </w:rPr>
              <w:t>男职工配偶待遇</w:t>
            </w:r>
          </w:p>
        </w:tc>
        <w:tc>
          <w:tcPr>
            <w:tcW w:w="7321" w:type="dxa"/>
            <w:vAlign w:val="top"/>
            <w:gridSpan w:val="3"/>
          </w:tcPr>
          <w:p>
            <w:pPr>
              <w:ind w:left="3263" w:right="61" w:hanging="3187"/>
              <w:spacing w:before="164" w:line="22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参加生育保险男职工的配偶，未享受生育医疗待遇的，可按照女职工住院分娩待遇标准的50％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享受生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育医疗待遇</w:t>
            </w:r>
          </w:p>
        </w:tc>
      </w:tr>
      <w:tr>
        <w:trPr>
          <w:trHeight w:val="309" w:hRule="atLeast"/>
        </w:trPr>
        <w:tc>
          <w:tcPr>
            <w:tcW w:w="9126" w:type="dxa"/>
            <w:vAlign w:val="top"/>
            <w:gridSpan w:val="5"/>
          </w:tcPr>
          <w:p>
            <w:pPr>
              <w:ind w:left="3429"/>
              <w:spacing w:before="84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此表仅供参考，以政策文件为准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008" w:right="1276" w:bottom="0" w:left="149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dcterms:created xsi:type="dcterms:W3CDTF">2025-08-01T11:17:38Z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2025-08-01T12:16:12</vt:filetime>
  </property>
</Properties>
</file>